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C0C" w:rsidRPr="00AF70FC" w:rsidRDefault="00FE70AE" w:rsidP="00293873">
      <w:pPr>
        <w:jc w:val="center"/>
        <w:rPr>
          <w:b/>
          <w:sz w:val="36"/>
          <w:szCs w:val="24"/>
          <w:lang w:val="en-GB"/>
        </w:rPr>
      </w:pPr>
      <w:r w:rsidRPr="00AF70FC">
        <w:rPr>
          <w:b/>
          <w:sz w:val="36"/>
          <w:szCs w:val="24"/>
          <w:lang w:val="en-GB"/>
        </w:rPr>
        <w:t>Key concerns about</w:t>
      </w:r>
      <w:r w:rsidR="00293873" w:rsidRPr="00AF70FC">
        <w:rPr>
          <w:b/>
          <w:sz w:val="36"/>
          <w:szCs w:val="24"/>
          <w:lang w:val="en-GB"/>
        </w:rPr>
        <w:t xml:space="preserve"> </w:t>
      </w:r>
      <w:r w:rsidRPr="00AF70FC">
        <w:rPr>
          <w:b/>
          <w:sz w:val="36"/>
          <w:szCs w:val="24"/>
          <w:lang w:val="en-GB"/>
        </w:rPr>
        <w:t>U</w:t>
      </w:r>
      <w:r w:rsidR="00293873" w:rsidRPr="00AF70FC">
        <w:rPr>
          <w:b/>
          <w:sz w:val="36"/>
          <w:szCs w:val="24"/>
          <w:lang w:val="en-GB"/>
        </w:rPr>
        <w:t xml:space="preserve">ndeclared </w:t>
      </w:r>
      <w:r w:rsidRPr="00AF70FC">
        <w:rPr>
          <w:b/>
          <w:sz w:val="36"/>
          <w:szCs w:val="24"/>
          <w:lang w:val="en-GB"/>
        </w:rPr>
        <w:t>W</w:t>
      </w:r>
      <w:r w:rsidR="00293873" w:rsidRPr="00AF70FC">
        <w:rPr>
          <w:b/>
          <w:sz w:val="36"/>
          <w:szCs w:val="24"/>
          <w:lang w:val="en-GB"/>
        </w:rPr>
        <w:t>ork</w:t>
      </w:r>
    </w:p>
    <w:p w:rsidR="00DD6FC7" w:rsidRPr="00C85564" w:rsidRDefault="00DD6FC7" w:rsidP="00DD6FC7">
      <w:pPr>
        <w:pStyle w:val="Kop1"/>
        <w:spacing w:before="360"/>
        <w:jc w:val="both"/>
        <w:rPr>
          <w:color w:val="002395"/>
          <w:szCs w:val="24"/>
        </w:rPr>
      </w:pPr>
      <w:r w:rsidRPr="00C85564">
        <w:rPr>
          <w:color w:val="002395"/>
          <w:szCs w:val="24"/>
        </w:rPr>
        <w:t>Bogus self-employment: definitions and scope</w:t>
      </w:r>
    </w:p>
    <w:p w:rsidR="00C85564" w:rsidRDefault="00C85564" w:rsidP="00DD6FC7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DEFINITION</w:t>
      </w:r>
      <w:r>
        <w:rPr>
          <w:sz w:val="24"/>
          <w:szCs w:val="24"/>
          <w:lang w:val="en-GB"/>
        </w:rPr>
        <w:br/>
      </w:r>
      <w:r w:rsidR="00DD6FC7" w:rsidRPr="00C85564">
        <w:rPr>
          <w:sz w:val="24"/>
          <w:szCs w:val="24"/>
          <w:lang w:val="en-GB"/>
        </w:rPr>
        <w:t xml:space="preserve">There is no definition of </w:t>
      </w:r>
      <w:r w:rsidR="008D1C5C" w:rsidRPr="00C85564">
        <w:rPr>
          <w:sz w:val="24"/>
          <w:szCs w:val="24"/>
          <w:lang w:val="en-GB"/>
        </w:rPr>
        <w:t xml:space="preserve">Bogus self-employment or </w:t>
      </w:r>
      <w:r w:rsidR="00DD6FC7" w:rsidRPr="00C85564">
        <w:rPr>
          <w:sz w:val="24"/>
          <w:szCs w:val="24"/>
          <w:lang w:val="en-GB"/>
        </w:rPr>
        <w:t>BSE at European level</w:t>
      </w:r>
      <w:r w:rsidR="00391445">
        <w:rPr>
          <w:sz w:val="24"/>
          <w:szCs w:val="24"/>
          <w:lang w:val="en-GB"/>
        </w:rPr>
        <w:t>. The OECD</w:t>
      </w:r>
      <w:r w:rsidR="00DD6FC7" w:rsidRPr="00C85564">
        <w:rPr>
          <w:sz w:val="24"/>
          <w:szCs w:val="24"/>
          <w:lang w:val="en-GB"/>
        </w:rPr>
        <w:t xml:space="preserve"> has described BSE or ‘false’ self-employment as </w:t>
      </w:r>
    </w:p>
    <w:p w:rsidR="00DD6FC7" w:rsidRPr="00C85564" w:rsidRDefault="00C85564" w:rsidP="00DD6FC7">
      <w:pPr>
        <w:rPr>
          <w:i/>
          <w:sz w:val="24"/>
          <w:szCs w:val="24"/>
          <w:lang w:val="en-GB"/>
        </w:rPr>
      </w:pPr>
      <w:r w:rsidRPr="00C85564">
        <w:rPr>
          <w:i/>
          <w:sz w:val="24"/>
          <w:szCs w:val="24"/>
          <w:lang w:val="en-GB"/>
        </w:rPr>
        <w:t>“</w:t>
      </w:r>
      <w:r w:rsidR="00DD6FC7" w:rsidRPr="00C85564">
        <w:rPr>
          <w:i/>
          <w:sz w:val="24"/>
          <w:szCs w:val="24"/>
          <w:lang w:val="en-GB"/>
        </w:rPr>
        <w:t>people whose conditions of employment ar</w:t>
      </w:r>
      <w:r w:rsidR="008D1C5C" w:rsidRPr="00C85564">
        <w:rPr>
          <w:i/>
          <w:sz w:val="24"/>
          <w:szCs w:val="24"/>
          <w:lang w:val="en-GB"/>
        </w:rPr>
        <w:t>e similar to those of employees. They</w:t>
      </w:r>
      <w:r w:rsidR="00DD6FC7" w:rsidRPr="00C85564">
        <w:rPr>
          <w:i/>
          <w:sz w:val="24"/>
          <w:szCs w:val="24"/>
          <w:lang w:val="en-GB"/>
        </w:rPr>
        <w:t xml:space="preserve"> have no employees themselves, and declare themselves (or are declared) as self-employed</w:t>
      </w:r>
      <w:r w:rsidR="008D1C5C" w:rsidRPr="00C85564">
        <w:rPr>
          <w:i/>
          <w:sz w:val="24"/>
          <w:szCs w:val="24"/>
          <w:lang w:val="en-GB"/>
        </w:rPr>
        <w:t xml:space="preserve">. </w:t>
      </w:r>
      <w:r>
        <w:rPr>
          <w:i/>
          <w:sz w:val="24"/>
          <w:szCs w:val="24"/>
          <w:lang w:val="en-GB"/>
        </w:rPr>
        <w:t>However, t</w:t>
      </w:r>
      <w:r w:rsidR="008D1C5C" w:rsidRPr="00C85564">
        <w:rPr>
          <w:i/>
          <w:sz w:val="24"/>
          <w:szCs w:val="24"/>
          <w:lang w:val="en-GB"/>
        </w:rPr>
        <w:t>heir goal is</w:t>
      </w:r>
      <w:r w:rsidR="00DD6FC7" w:rsidRPr="00C85564">
        <w:rPr>
          <w:i/>
          <w:sz w:val="24"/>
          <w:szCs w:val="24"/>
          <w:lang w:val="en-GB"/>
        </w:rPr>
        <w:t xml:space="preserve"> simply to reduce tax liabilities, o</w:t>
      </w:r>
      <w:r w:rsidRPr="00C85564">
        <w:rPr>
          <w:i/>
          <w:sz w:val="24"/>
          <w:szCs w:val="24"/>
          <w:lang w:val="en-GB"/>
        </w:rPr>
        <w:t>r employers’ responsibilities’</w:t>
      </w:r>
      <w:r>
        <w:rPr>
          <w:i/>
          <w:sz w:val="24"/>
          <w:szCs w:val="24"/>
          <w:lang w:val="en-GB"/>
        </w:rPr>
        <w:t>.</w:t>
      </w:r>
      <w:r w:rsidRPr="00C85564">
        <w:rPr>
          <w:i/>
          <w:sz w:val="24"/>
          <w:szCs w:val="24"/>
          <w:lang w:val="en-GB"/>
        </w:rPr>
        <w:t>”</w:t>
      </w:r>
    </w:p>
    <w:p w:rsidR="00C85564" w:rsidRDefault="00C85564" w:rsidP="008D1C5C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DISTINCTION WITH DEPENDENT SELF-EMPLOYED</w:t>
      </w:r>
    </w:p>
    <w:p w:rsidR="003A1020" w:rsidRPr="00C85564" w:rsidRDefault="008D1C5C" w:rsidP="008D1C5C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‘Bogus self-employment’ is </w:t>
      </w:r>
      <w:r w:rsidR="00391445">
        <w:rPr>
          <w:sz w:val="24"/>
          <w:szCs w:val="24"/>
          <w:lang w:val="en-GB"/>
        </w:rPr>
        <w:t xml:space="preserve">in a ‘grey area’ and is </w:t>
      </w:r>
      <w:r w:rsidRPr="00C85564">
        <w:rPr>
          <w:sz w:val="24"/>
          <w:szCs w:val="24"/>
          <w:lang w:val="en-GB"/>
        </w:rPr>
        <w:t xml:space="preserve">often used as the equivalent of ‘economically dependent workers’ and vice versa. However, each concept emphasises a different feature. </w:t>
      </w:r>
      <w:r w:rsidR="003A1020" w:rsidRPr="00C85564">
        <w:rPr>
          <w:sz w:val="24"/>
          <w:szCs w:val="24"/>
          <w:lang w:val="en-GB"/>
        </w:rPr>
        <w:br/>
      </w:r>
      <w:r w:rsidR="00C85564">
        <w:rPr>
          <w:sz w:val="24"/>
          <w:szCs w:val="24"/>
          <w:lang w:val="en-GB"/>
        </w:rPr>
        <w:br/>
      </w:r>
      <w:r w:rsidR="003A1020" w:rsidRPr="00C85564">
        <w:rPr>
          <w:sz w:val="24"/>
          <w:szCs w:val="24"/>
          <w:lang w:val="en-GB"/>
        </w:rPr>
        <w:t xml:space="preserve">- </w:t>
      </w:r>
      <w:r w:rsidRPr="00C85564">
        <w:rPr>
          <w:sz w:val="24"/>
          <w:szCs w:val="24"/>
          <w:lang w:val="en-GB"/>
        </w:rPr>
        <w:t>The ‘bogus’ denomination underlines the intention to circumvent labour, tax, social security rights and regulations, to reduce costs and avoid payments and obligations.</w:t>
      </w:r>
    </w:p>
    <w:p w:rsidR="008D1C5C" w:rsidRPr="00C85564" w:rsidRDefault="003A1020" w:rsidP="00DD6FC7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-</w:t>
      </w:r>
      <w:r w:rsidR="008D1C5C" w:rsidRPr="00C85564">
        <w:rPr>
          <w:sz w:val="24"/>
          <w:szCs w:val="24"/>
          <w:lang w:val="en-GB"/>
        </w:rPr>
        <w:t xml:space="preserve"> For the ‘economically dependent’ status, the economic dependence of a worker to one contractor/employer could be an outcome more than a deliberate construction.</w:t>
      </w:r>
    </w:p>
    <w:p w:rsidR="00C85564" w:rsidRDefault="00C85564" w:rsidP="00FE70AE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SCALE</w:t>
      </w:r>
    </w:p>
    <w:p w:rsidR="008D1C5C" w:rsidRPr="00C85564" w:rsidRDefault="00DD6FC7" w:rsidP="00FE70AE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There are few estimates o</w:t>
      </w:r>
      <w:r w:rsidR="008D1C5C" w:rsidRPr="00C85564">
        <w:rPr>
          <w:sz w:val="24"/>
          <w:szCs w:val="24"/>
          <w:lang w:val="en-GB"/>
        </w:rPr>
        <w:t xml:space="preserve">f the scale and extent of BSE. </w:t>
      </w:r>
      <w:r w:rsidRPr="00C85564">
        <w:rPr>
          <w:sz w:val="24"/>
          <w:szCs w:val="24"/>
          <w:lang w:val="en-GB"/>
        </w:rPr>
        <w:t>The main source of information is Eurofound</w:t>
      </w:r>
      <w:r w:rsidR="008D1C5C" w:rsidRPr="00C85564">
        <w:rPr>
          <w:sz w:val="24"/>
          <w:szCs w:val="24"/>
          <w:lang w:val="en-GB"/>
        </w:rPr>
        <w:t>. In 2015, they examined the scale of BSE and who is involved.</w:t>
      </w:r>
      <w:r w:rsidRPr="00C85564">
        <w:rPr>
          <w:sz w:val="24"/>
          <w:szCs w:val="24"/>
          <w:lang w:val="en-GB"/>
        </w:rPr>
        <w:t xml:space="preserve"> This distinguish</w:t>
      </w:r>
      <w:r w:rsidR="00C85564">
        <w:rPr>
          <w:sz w:val="24"/>
          <w:szCs w:val="24"/>
          <w:lang w:val="en-GB"/>
        </w:rPr>
        <w:t>es five groups of self-employed, among which the stable own-account workers. They represent</w:t>
      </w:r>
      <w:r w:rsidR="008D1C5C" w:rsidRPr="00C85564">
        <w:rPr>
          <w:sz w:val="24"/>
          <w:szCs w:val="24"/>
          <w:lang w:val="en-GB"/>
        </w:rPr>
        <w:t xml:space="preserve"> 26%</w:t>
      </w:r>
      <w:r w:rsidR="00C85564">
        <w:rPr>
          <w:sz w:val="24"/>
          <w:szCs w:val="24"/>
          <w:lang w:val="en-GB"/>
        </w:rPr>
        <w:t xml:space="preserve"> of BSE workers</w:t>
      </w:r>
      <w:r w:rsidR="008D1C5C" w:rsidRPr="00C85564">
        <w:rPr>
          <w:sz w:val="24"/>
          <w:szCs w:val="24"/>
          <w:lang w:val="en-GB"/>
        </w:rPr>
        <w:t xml:space="preserve"> (e.g. shopkeepers, hairdressers, plumbers)</w:t>
      </w:r>
      <w:r w:rsidR="00C85564">
        <w:rPr>
          <w:sz w:val="24"/>
          <w:szCs w:val="24"/>
          <w:lang w:val="en-GB"/>
        </w:rPr>
        <w:t>.</w:t>
      </w:r>
    </w:p>
    <w:p w:rsidR="00507B63" w:rsidRDefault="000C571F" w:rsidP="000C571F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Although BSE has long been widespread</w:t>
      </w:r>
      <w:r w:rsidR="003A1020" w:rsidRPr="00C85564">
        <w:rPr>
          <w:sz w:val="24"/>
          <w:szCs w:val="24"/>
          <w:lang w:val="en-GB"/>
        </w:rPr>
        <w:t xml:space="preserve"> mainly</w:t>
      </w:r>
      <w:r w:rsidRPr="00C85564">
        <w:rPr>
          <w:sz w:val="24"/>
          <w:szCs w:val="24"/>
          <w:lang w:val="en-GB"/>
        </w:rPr>
        <w:t xml:space="preserve"> in manual occupations and sectors such as construction, it has recently spread to non-manual occupations and other sectors. </w:t>
      </w:r>
    </w:p>
    <w:p w:rsidR="00C85564" w:rsidRDefault="00C85564" w:rsidP="000C571F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PROBLEM FOR ENFORCEMENT AGENCIES</w:t>
      </w:r>
    </w:p>
    <w:p w:rsidR="000C571F" w:rsidRPr="00C85564" w:rsidRDefault="003A1020" w:rsidP="000C571F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The main difficulty for </w:t>
      </w:r>
      <w:r w:rsidR="000C571F" w:rsidRPr="00C85564">
        <w:rPr>
          <w:sz w:val="24"/>
          <w:szCs w:val="24"/>
          <w:lang w:val="en-GB"/>
        </w:rPr>
        <w:t>enforcement agencies,</w:t>
      </w:r>
      <w:r w:rsidRPr="00C85564">
        <w:rPr>
          <w:sz w:val="24"/>
          <w:szCs w:val="24"/>
          <w:lang w:val="en-GB"/>
        </w:rPr>
        <w:t xml:space="preserve"> is that BSE is in</w:t>
      </w:r>
      <w:r w:rsidR="000C571F" w:rsidRPr="00C85564">
        <w:rPr>
          <w:sz w:val="24"/>
          <w:szCs w:val="24"/>
          <w:lang w:val="en-GB"/>
        </w:rPr>
        <w:t xml:space="preserve"> </w:t>
      </w:r>
      <w:r w:rsidRPr="00C85564">
        <w:rPr>
          <w:sz w:val="24"/>
          <w:szCs w:val="24"/>
          <w:lang w:val="en-GB"/>
        </w:rPr>
        <w:t>a grey area in legal terms. They</w:t>
      </w:r>
      <w:r w:rsidR="000C571F" w:rsidRPr="00C85564">
        <w:rPr>
          <w:sz w:val="24"/>
          <w:szCs w:val="24"/>
          <w:lang w:val="en-GB"/>
        </w:rPr>
        <w:t xml:space="preserve"> cannot </w:t>
      </w:r>
      <w:r w:rsidR="00C85564">
        <w:rPr>
          <w:sz w:val="24"/>
          <w:szCs w:val="24"/>
          <w:lang w:val="en-GB"/>
        </w:rPr>
        <w:t>judge in</w:t>
      </w:r>
      <w:r w:rsidR="000C571F" w:rsidRPr="00C85564">
        <w:rPr>
          <w:sz w:val="24"/>
          <w:szCs w:val="24"/>
          <w:lang w:val="en-GB"/>
        </w:rPr>
        <w:t xml:space="preserve"> clear ‘black or white’ distinctions. </w:t>
      </w:r>
    </w:p>
    <w:p w:rsidR="00C85564" w:rsidRDefault="00C85564" w:rsidP="003A1020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NETHERLANDS - EXAMPLE </w:t>
      </w:r>
    </w:p>
    <w:p w:rsidR="000C571F" w:rsidRPr="00C85564" w:rsidRDefault="000C571F" w:rsidP="000C571F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In response</w:t>
      </w:r>
      <w:r w:rsidR="00C85564">
        <w:rPr>
          <w:sz w:val="24"/>
          <w:szCs w:val="24"/>
          <w:lang w:val="en-GB"/>
        </w:rPr>
        <w:t xml:space="preserve"> to this grey area</w:t>
      </w:r>
      <w:r w:rsidRPr="00C85564">
        <w:rPr>
          <w:sz w:val="24"/>
          <w:szCs w:val="24"/>
          <w:lang w:val="en-GB"/>
        </w:rPr>
        <w:t xml:space="preserve">, a new system has been introduced </w:t>
      </w:r>
      <w:r w:rsidR="00507B63">
        <w:rPr>
          <w:sz w:val="24"/>
          <w:szCs w:val="24"/>
          <w:lang w:val="en-GB"/>
        </w:rPr>
        <w:t xml:space="preserve">in </w:t>
      </w:r>
      <w:r w:rsidR="00507B63" w:rsidRPr="00391445">
        <w:rPr>
          <w:b/>
          <w:sz w:val="24"/>
          <w:szCs w:val="24"/>
          <w:lang w:val="en-GB"/>
        </w:rPr>
        <w:t>the Netherland</w:t>
      </w:r>
      <w:r w:rsidR="00391445" w:rsidRPr="00391445">
        <w:rPr>
          <w:b/>
          <w:sz w:val="24"/>
          <w:szCs w:val="24"/>
          <w:lang w:val="en-GB"/>
        </w:rPr>
        <w:t>s</w:t>
      </w:r>
      <w:r w:rsidR="00C85564" w:rsidRPr="00C85564">
        <w:rPr>
          <w:sz w:val="24"/>
          <w:szCs w:val="24"/>
          <w:lang w:val="en-GB"/>
        </w:rPr>
        <w:t xml:space="preserve"> </w:t>
      </w:r>
      <w:r w:rsidRPr="00C85564">
        <w:rPr>
          <w:sz w:val="24"/>
          <w:szCs w:val="24"/>
          <w:lang w:val="en-GB"/>
        </w:rPr>
        <w:t xml:space="preserve">to try to make the </w:t>
      </w:r>
      <w:r w:rsidR="003A1020" w:rsidRPr="00C85564">
        <w:rPr>
          <w:sz w:val="24"/>
          <w:szCs w:val="24"/>
          <w:lang w:val="en-GB"/>
        </w:rPr>
        <w:t>distinction</w:t>
      </w:r>
      <w:r w:rsidRPr="00C85564">
        <w:rPr>
          <w:sz w:val="24"/>
          <w:szCs w:val="24"/>
          <w:lang w:val="en-GB"/>
        </w:rPr>
        <w:t xml:space="preserve"> between employment and self-employment much clearer in the tax system. BSE is one of the legal structures that companies u</w:t>
      </w:r>
      <w:r w:rsidR="00895566" w:rsidRPr="00C85564">
        <w:rPr>
          <w:sz w:val="24"/>
          <w:szCs w:val="24"/>
          <w:lang w:val="en-GB"/>
        </w:rPr>
        <w:t xml:space="preserve">se to economise on labour costs, for instance in the cleaning industry. </w:t>
      </w:r>
      <w:r w:rsidRPr="00C85564">
        <w:rPr>
          <w:sz w:val="24"/>
          <w:szCs w:val="24"/>
          <w:lang w:val="en-GB"/>
        </w:rPr>
        <w:t>The labour inspectorate decided to tackle t</w:t>
      </w:r>
      <w:r w:rsidR="00507B63">
        <w:rPr>
          <w:sz w:val="24"/>
          <w:szCs w:val="24"/>
          <w:lang w:val="en-GB"/>
        </w:rPr>
        <w:t>he BSE cleaning practices</w:t>
      </w:r>
      <w:r w:rsidRPr="00C85564">
        <w:rPr>
          <w:sz w:val="24"/>
          <w:szCs w:val="24"/>
          <w:lang w:val="en-GB"/>
        </w:rPr>
        <w:t xml:space="preserve"> in fast food restaurants</w:t>
      </w:r>
      <w:r w:rsidR="00507B63">
        <w:rPr>
          <w:sz w:val="24"/>
          <w:szCs w:val="24"/>
          <w:lang w:val="en-GB"/>
        </w:rPr>
        <w:t>. They</w:t>
      </w:r>
      <w:r w:rsidRPr="00C85564">
        <w:rPr>
          <w:sz w:val="24"/>
          <w:szCs w:val="24"/>
          <w:lang w:val="en-GB"/>
        </w:rPr>
        <w:t xml:space="preserve"> </w:t>
      </w:r>
      <w:r w:rsidR="00507B63">
        <w:rPr>
          <w:sz w:val="24"/>
          <w:szCs w:val="24"/>
          <w:lang w:val="en-GB"/>
        </w:rPr>
        <w:t>approached</w:t>
      </w:r>
      <w:r w:rsidRPr="00C85564">
        <w:rPr>
          <w:sz w:val="24"/>
          <w:szCs w:val="24"/>
          <w:lang w:val="en-GB"/>
        </w:rPr>
        <w:t xml:space="preserve"> senior managers</w:t>
      </w:r>
      <w:r w:rsidR="00507B63">
        <w:rPr>
          <w:sz w:val="24"/>
          <w:szCs w:val="24"/>
          <w:lang w:val="en-GB"/>
        </w:rPr>
        <w:t>, who often couldn’t tell</w:t>
      </w:r>
      <w:r w:rsidR="00895566" w:rsidRPr="00C85564">
        <w:rPr>
          <w:sz w:val="24"/>
          <w:szCs w:val="24"/>
          <w:lang w:val="en-GB"/>
        </w:rPr>
        <w:t xml:space="preserve"> </w:t>
      </w:r>
      <w:r w:rsidRPr="00C85564">
        <w:rPr>
          <w:sz w:val="24"/>
          <w:szCs w:val="24"/>
          <w:lang w:val="en-GB"/>
        </w:rPr>
        <w:t xml:space="preserve">how cleaning was carried out in their establishments. </w:t>
      </w:r>
      <w:r w:rsidR="00507B63">
        <w:rPr>
          <w:sz w:val="24"/>
          <w:szCs w:val="24"/>
          <w:lang w:val="en-GB"/>
        </w:rPr>
        <w:t xml:space="preserve">This action by the  Inspectorate </w:t>
      </w:r>
      <w:r w:rsidRPr="00C85564">
        <w:rPr>
          <w:sz w:val="24"/>
          <w:szCs w:val="24"/>
          <w:lang w:val="en-GB"/>
        </w:rPr>
        <w:t xml:space="preserve">raised </w:t>
      </w:r>
      <w:r w:rsidR="00391445">
        <w:rPr>
          <w:sz w:val="24"/>
          <w:szCs w:val="24"/>
          <w:lang w:val="en-GB"/>
        </w:rPr>
        <w:t>their</w:t>
      </w:r>
      <w:r w:rsidR="00507B63">
        <w:rPr>
          <w:sz w:val="24"/>
          <w:szCs w:val="24"/>
          <w:lang w:val="en-GB"/>
        </w:rPr>
        <w:t xml:space="preserve"> </w:t>
      </w:r>
      <w:r w:rsidRPr="00C85564">
        <w:rPr>
          <w:sz w:val="24"/>
          <w:szCs w:val="24"/>
          <w:lang w:val="en-GB"/>
        </w:rPr>
        <w:t>awareness</w:t>
      </w:r>
      <w:r w:rsidR="00895566" w:rsidRPr="00C85564">
        <w:rPr>
          <w:sz w:val="24"/>
          <w:szCs w:val="24"/>
          <w:lang w:val="en-GB"/>
        </w:rPr>
        <w:t>.</w:t>
      </w:r>
    </w:p>
    <w:p w:rsidR="00574CC6" w:rsidRPr="00C85564" w:rsidRDefault="00574CC6" w:rsidP="00574CC6">
      <w:pPr>
        <w:pStyle w:val="Kop1"/>
        <w:spacing w:before="360"/>
        <w:rPr>
          <w:color w:val="002395"/>
          <w:szCs w:val="24"/>
        </w:rPr>
      </w:pPr>
      <w:r w:rsidRPr="00C85564">
        <w:rPr>
          <w:color w:val="002395"/>
          <w:szCs w:val="24"/>
        </w:rPr>
        <w:lastRenderedPageBreak/>
        <w:t>Why do we need to tackle bogus self-employment?</w:t>
      </w:r>
    </w:p>
    <w:p w:rsidR="00574CC6" w:rsidRPr="00C85564" w:rsidRDefault="00C85564" w:rsidP="00C85564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- </w:t>
      </w:r>
      <w:r w:rsidR="00574CC6" w:rsidRPr="00C85564">
        <w:rPr>
          <w:sz w:val="24"/>
          <w:szCs w:val="24"/>
          <w:lang w:val="en-GB"/>
        </w:rPr>
        <w:t>The bogus self-employed do not receive the same level of protection as employees</w:t>
      </w:r>
      <w:r w:rsidR="00895566" w:rsidRPr="00C85564">
        <w:rPr>
          <w:sz w:val="24"/>
          <w:szCs w:val="24"/>
          <w:lang w:val="en-GB"/>
        </w:rPr>
        <w:t xml:space="preserve"> (e.g. insurances, holidays, etc.)</w:t>
      </w:r>
      <w:r w:rsidR="00574CC6" w:rsidRPr="00C85564">
        <w:rPr>
          <w:sz w:val="24"/>
          <w:szCs w:val="24"/>
          <w:lang w:val="en-GB"/>
        </w:rPr>
        <w:t xml:space="preserve">. </w:t>
      </w:r>
      <w:r w:rsidR="00895566" w:rsidRPr="00C85564">
        <w:rPr>
          <w:sz w:val="24"/>
          <w:szCs w:val="24"/>
          <w:lang w:val="en-GB"/>
        </w:rPr>
        <w:t>They</w:t>
      </w:r>
      <w:r w:rsidR="00574CC6" w:rsidRPr="00C85564">
        <w:rPr>
          <w:sz w:val="24"/>
          <w:szCs w:val="24"/>
          <w:lang w:val="en-GB"/>
        </w:rPr>
        <w:t xml:space="preserve"> are </w:t>
      </w:r>
      <w:r w:rsidR="00895566" w:rsidRPr="00C85564">
        <w:rPr>
          <w:sz w:val="24"/>
          <w:szCs w:val="24"/>
          <w:lang w:val="en-GB"/>
        </w:rPr>
        <w:t xml:space="preserve">also </w:t>
      </w:r>
      <w:r w:rsidR="00574CC6" w:rsidRPr="00C85564">
        <w:rPr>
          <w:sz w:val="24"/>
          <w:szCs w:val="24"/>
          <w:lang w:val="en-GB"/>
        </w:rPr>
        <w:t>affected by low job quality</w:t>
      </w:r>
      <w:r w:rsidR="00895566" w:rsidRPr="00C85564">
        <w:rPr>
          <w:sz w:val="24"/>
          <w:szCs w:val="24"/>
          <w:lang w:val="en-GB"/>
        </w:rPr>
        <w:t xml:space="preserve"> (e.g. working hours, work-life-balance)</w:t>
      </w:r>
      <w:r w:rsidR="00574CC6" w:rsidRPr="00C85564">
        <w:rPr>
          <w:sz w:val="24"/>
          <w:szCs w:val="24"/>
          <w:lang w:val="en-GB"/>
        </w:rPr>
        <w:t xml:space="preserve">. </w:t>
      </w:r>
    </w:p>
    <w:p w:rsidR="00574CC6" w:rsidRPr="00C85564" w:rsidRDefault="00574CC6" w:rsidP="00574CC6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- BSE is a way of cutting costs, </w:t>
      </w:r>
      <w:r w:rsidR="00895566" w:rsidRPr="00C85564">
        <w:rPr>
          <w:sz w:val="24"/>
          <w:szCs w:val="24"/>
          <w:lang w:val="en-GB"/>
        </w:rPr>
        <w:t>so</w:t>
      </w:r>
      <w:r w:rsidRPr="00C85564">
        <w:rPr>
          <w:sz w:val="24"/>
          <w:szCs w:val="24"/>
          <w:lang w:val="en-GB"/>
        </w:rPr>
        <w:t xml:space="preserve"> </w:t>
      </w:r>
      <w:r w:rsidR="00507B63">
        <w:rPr>
          <w:sz w:val="24"/>
          <w:szCs w:val="24"/>
          <w:lang w:val="en-GB"/>
        </w:rPr>
        <w:t xml:space="preserve">it creates unfair competition. </w:t>
      </w:r>
    </w:p>
    <w:p w:rsidR="00574CC6" w:rsidRPr="00C85564" w:rsidRDefault="00574CC6" w:rsidP="00574CC6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- Employers may use BSE as a way of avoiding health and safety responsibilities. </w:t>
      </w:r>
    </w:p>
    <w:p w:rsidR="00293873" w:rsidRPr="00C85564" w:rsidRDefault="00574CC6" w:rsidP="00574CC6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- BSE leads to tax and social security revenues being lower than they could be.</w:t>
      </w:r>
    </w:p>
    <w:p w:rsidR="00574CC6" w:rsidRPr="00C85564" w:rsidRDefault="00574CC6" w:rsidP="00895566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- Some cases of BSE also involve </w:t>
      </w:r>
      <w:r w:rsidR="00895566" w:rsidRPr="00C85564">
        <w:rPr>
          <w:sz w:val="24"/>
          <w:szCs w:val="24"/>
          <w:lang w:val="en-GB"/>
        </w:rPr>
        <w:t>undecl</w:t>
      </w:r>
      <w:r w:rsidR="00C85564">
        <w:rPr>
          <w:sz w:val="24"/>
          <w:szCs w:val="24"/>
          <w:lang w:val="en-GB"/>
        </w:rPr>
        <w:t>ared work or illegal work, or are</w:t>
      </w:r>
      <w:r w:rsidR="00895566" w:rsidRPr="00C85564">
        <w:rPr>
          <w:sz w:val="24"/>
          <w:szCs w:val="24"/>
          <w:lang w:val="en-GB"/>
        </w:rPr>
        <w:t xml:space="preserve"> sometimes </w:t>
      </w:r>
      <w:r w:rsidRPr="00C85564">
        <w:rPr>
          <w:sz w:val="24"/>
          <w:szCs w:val="24"/>
          <w:lang w:val="en-GB"/>
        </w:rPr>
        <w:t>linked to organised crime.</w:t>
      </w:r>
    </w:p>
    <w:p w:rsidR="00574CC6" w:rsidRPr="00C85564" w:rsidRDefault="00574CC6" w:rsidP="00574CC6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- The scale of the pr</w:t>
      </w:r>
      <w:r w:rsidR="00507B63">
        <w:rPr>
          <w:sz w:val="24"/>
          <w:szCs w:val="24"/>
          <w:lang w:val="en-GB"/>
        </w:rPr>
        <w:t>oblem appears to be increasing.</w:t>
      </w:r>
    </w:p>
    <w:p w:rsidR="00574CC6" w:rsidRPr="00C85564" w:rsidRDefault="00574CC6" w:rsidP="00574CC6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- </w:t>
      </w:r>
      <w:r w:rsidR="00895566" w:rsidRPr="00C85564">
        <w:rPr>
          <w:sz w:val="24"/>
          <w:szCs w:val="24"/>
          <w:lang w:val="en-GB"/>
        </w:rPr>
        <w:t>BS</w:t>
      </w:r>
      <w:r w:rsidR="00507B63">
        <w:rPr>
          <w:sz w:val="24"/>
          <w:szCs w:val="24"/>
          <w:lang w:val="en-GB"/>
        </w:rPr>
        <w:t>E often involves young people, as a way to prevent their being unemployed instead.</w:t>
      </w:r>
    </w:p>
    <w:p w:rsidR="000F7369" w:rsidRPr="00C85564" w:rsidRDefault="000F7369" w:rsidP="000F7369">
      <w:pPr>
        <w:pStyle w:val="Kop1"/>
        <w:spacing w:before="360"/>
        <w:jc w:val="both"/>
        <w:rPr>
          <w:color w:val="002395"/>
          <w:szCs w:val="24"/>
        </w:rPr>
      </w:pPr>
      <w:bookmarkStart w:id="0" w:name="_Hlk482359560"/>
      <w:r w:rsidRPr="00C85564">
        <w:rPr>
          <w:color w:val="002395"/>
          <w:szCs w:val="24"/>
        </w:rPr>
        <w:t>Existing efforts to tackle bogus self-employment</w:t>
      </w:r>
    </w:p>
    <w:bookmarkEnd w:id="0"/>
    <w:p w:rsidR="00293873" w:rsidRPr="005D452A" w:rsidRDefault="005D452A" w:rsidP="00293873">
      <w:pPr>
        <w:rPr>
          <w:sz w:val="24"/>
          <w:szCs w:val="24"/>
          <w:lang w:val="en-GB"/>
        </w:rPr>
      </w:pPr>
      <w:r w:rsidRPr="005D452A">
        <w:rPr>
          <w:sz w:val="24"/>
          <w:szCs w:val="24"/>
          <w:lang w:val="en-GB"/>
        </w:rPr>
        <w:t xml:space="preserve">IN GENERAL </w:t>
      </w:r>
    </w:p>
    <w:p w:rsidR="000F7369" w:rsidRPr="00C85564" w:rsidRDefault="00895566" w:rsidP="000F7369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We have noticed that</w:t>
      </w:r>
      <w:r w:rsidR="000F7369" w:rsidRPr="00C85564">
        <w:rPr>
          <w:sz w:val="24"/>
          <w:szCs w:val="24"/>
          <w:lang w:val="en-GB"/>
        </w:rPr>
        <w:t xml:space="preserve"> Member States rarely have legislation relating specifically to BSE</w:t>
      </w:r>
      <w:r w:rsidRPr="00C85564">
        <w:rPr>
          <w:sz w:val="24"/>
          <w:szCs w:val="24"/>
          <w:lang w:val="en-GB"/>
        </w:rPr>
        <w:t>. It</w:t>
      </w:r>
      <w:r w:rsidR="000F7369" w:rsidRPr="00C85564">
        <w:rPr>
          <w:sz w:val="24"/>
          <w:szCs w:val="24"/>
          <w:lang w:val="en-GB"/>
        </w:rPr>
        <w:t xml:space="preserve"> tends to be addressed as part of general enforcement activities. </w:t>
      </w:r>
    </w:p>
    <w:p w:rsidR="00293873" w:rsidRPr="00C85564" w:rsidRDefault="000F7369" w:rsidP="000F7369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The most important measures</w:t>
      </w:r>
      <w:r w:rsidR="00507B63">
        <w:rPr>
          <w:sz w:val="24"/>
          <w:szCs w:val="24"/>
          <w:lang w:val="en-GB"/>
        </w:rPr>
        <w:t>, often domestic ones,</w:t>
      </w:r>
      <w:r w:rsidRPr="00C85564">
        <w:rPr>
          <w:sz w:val="24"/>
          <w:szCs w:val="24"/>
          <w:lang w:val="en-GB"/>
        </w:rPr>
        <w:t xml:space="preserve"> are those that seek to deal with the misclassification of depen</w:t>
      </w:r>
      <w:r w:rsidR="00895566" w:rsidRPr="00C85564">
        <w:rPr>
          <w:sz w:val="24"/>
          <w:szCs w:val="24"/>
          <w:lang w:val="en-GB"/>
        </w:rPr>
        <w:t xml:space="preserve">dent employees as self-employed. </w:t>
      </w:r>
      <w:r w:rsidR="00507B63">
        <w:rPr>
          <w:sz w:val="24"/>
          <w:szCs w:val="24"/>
          <w:lang w:val="en-GB"/>
        </w:rPr>
        <w:t xml:space="preserve">They establish criteria to determine </w:t>
      </w:r>
      <w:r w:rsidRPr="00C85564">
        <w:rPr>
          <w:sz w:val="24"/>
          <w:szCs w:val="24"/>
          <w:lang w:val="en-GB"/>
        </w:rPr>
        <w:t>what is self-employment and dependent employment. Such criteria, however, do not exist in all Member States</w:t>
      </w:r>
      <w:r w:rsidR="00895566" w:rsidRPr="00C85564">
        <w:rPr>
          <w:sz w:val="24"/>
          <w:szCs w:val="24"/>
          <w:lang w:val="en-GB"/>
        </w:rPr>
        <w:t xml:space="preserve"> or differ across Member states.</w:t>
      </w:r>
    </w:p>
    <w:p w:rsidR="005D452A" w:rsidRDefault="00895566" w:rsidP="00AA2992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T</w:t>
      </w:r>
      <w:r w:rsidR="00AA2992" w:rsidRPr="00C85564">
        <w:rPr>
          <w:sz w:val="24"/>
          <w:szCs w:val="24"/>
          <w:lang w:val="en-GB"/>
        </w:rPr>
        <w:t xml:space="preserve">herefore a range of criteria </w:t>
      </w:r>
      <w:r w:rsidRPr="00C85564">
        <w:rPr>
          <w:sz w:val="24"/>
          <w:szCs w:val="24"/>
          <w:lang w:val="en-GB"/>
        </w:rPr>
        <w:t xml:space="preserve">is used </w:t>
      </w:r>
      <w:r w:rsidR="00AA2992" w:rsidRPr="00C85564">
        <w:rPr>
          <w:sz w:val="24"/>
          <w:szCs w:val="24"/>
          <w:lang w:val="en-GB"/>
        </w:rPr>
        <w:t xml:space="preserve">to distinguish between employment, self-employment and BSE. </w:t>
      </w:r>
    </w:p>
    <w:p w:rsidR="00AF70FC" w:rsidRDefault="00AA2992" w:rsidP="00AA2992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Commonly used criteria </w:t>
      </w:r>
      <w:r w:rsidR="00391445">
        <w:rPr>
          <w:sz w:val="24"/>
          <w:szCs w:val="24"/>
          <w:lang w:val="en-GB"/>
        </w:rPr>
        <w:t>are</w:t>
      </w:r>
      <w:r w:rsidR="005D452A">
        <w:rPr>
          <w:sz w:val="24"/>
          <w:szCs w:val="24"/>
          <w:lang w:val="en-GB"/>
        </w:rPr>
        <w:br/>
        <w:t xml:space="preserve">- </w:t>
      </w:r>
      <w:r w:rsidRPr="00C85564">
        <w:rPr>
          <w:sz w:val="24"/>
          <w:szCs w:val="24"/>
          <w:lang w:val="en-GB"/>
        </w:rPr>
        <w:t xml:space="preserve">the number of clients for which the worker provides services; </w:t>
      </w:r>
      <w:r w:rsidR="005D452A">
        <w:rPr>
          <w:sz w:val="24"/>
          <w:szCs w:val="24"/>
          <w:lang w:val="en-GB"/>
        </w:rPr>
        <w:br/>
        <w:t xml:space="preserve">- </w:t>
      </w:r>
      <w:r w:rsidRPr="00C85564">
        <w:rPr>
          <w:sz w:val="24"/>
          <w:szCs w:val="24"/>
          <w:lang w:val="en-GB"/>
        </w:rPr>
        <w:t xml:space="preserve">whether the client provides tools and machines; </w:t>
      </w:r>
      <w:r w:rsidR="005D452A">
        <w:rPr>
          <w:sz w:val="24"/>
          <w:szCs w:val="24"/>
          <w:lang w:val="en-GB"/>
        </w:rPr>
        <w:br/>
        <w:t xml:space="preserve">- </w:t>
      </w:r>
      <w:r w:rsidRPr="00C85564">
        <w:rPr>
          <w:sz w:val="24"/>
          <w:szCs w:val="24"/>
          <w:lang w:val="en-GB"/>
        </w:rPr>
        <w:t xml:space="preserve">whether the worker is permitted to determine how their work should be organised. </w:t>
      </w:r>
    </w:p>
    <w:p w:rsidR="00AF70FC" w:rsidRPr="00C85564" w:rsidRDefault="00AF70FC" w:rsidP="00AF70FC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Some countries have attempted to improve the clarity of distinctions through changes to their labour laws.</w:t>
      </w:r>
    </w:p>
    <w:p w:rsidR="00AF70FC" w:rsidRPr="00AF70FC" w:rsidRDefault="00AF70FC" w:rsidP="00AF70FC">
      <w:pPr>
        <w:rPr>
          <w:sz w:val="24"/>
          <w:szCs w:val="24"/>
          <w:lang w:val="fr-BE"/>
        </w:rPr>
      </w:pPr>
      <w:r>
        <w:rPr>
          <w:sz w:val="24"/>
          <w:szCs w:val="24"/>
          <w:lang w:val="en-GB"/>
        </w:rPr>
        <w:t>EXAMPLES</w:t>
      </w:r>
    </w:p>
    <w:p w:rsidR="00574CC6" w:rsidRPr="00C85564" w:rsidRDefault="00AA2992" w:rsidP="00AA2992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In </w:t>
      </w:r>
      <w:r w:rsidRPr="00AF70FC">
        <w:rPr>
          <w:b/>
          <w:sz w:val="24"/>
          <w:szCs w:val="24"/>
          <w:lang w:val="en-GB"/>
        </w:rPr>
        <w:t>Austria</w:t>
      </w:r>
      <w:r w:rsidRPr="00C85564">
        <w:rPr>
          <w:sz w:val="24"/>
          <w:szCs w:val="24"/>
          <w:lang w:val="en-GB"/>
        </w:rPr>
        <w:t>, there has been a proposal for a new law to enable workers to determine if they are in a BSE situation</w:t>
      </w:r>
      <w:r w:rsidR="00507B63">
        <w:rPr>
          <w:sz w:val="24"/>
          <w:szCs w:val="24"/>
          <w:lang w:val="en-GB"/>
        </w:rPr>
        <w:t xml:space="preserve"> using a questionnaire</w:t>
      </w:r>
      <w:r w:rsidRPr="00C85564">
        <w:rPr>
          <w:sz w:val="24"/>
          <w:szCs w:val="24"/>
          <w:lang w:val="en-GB"/>
        </w:rPr>
        <w:t xml:space="preserve">. </w:t>
      </w:r>
    </w:p>
    <w:p w:rsidR="00CA55D8" w:rsidRPr="00C85564" w:rsidRDefault="00CA55D8" w:rsidP="00AA2992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In </w:t>
      </w:r>
      <w:r w:rsidRPr="00AF70FC">
        <w:rPr>
          <w:b/>
          <w:sz w:val="24"/>
          <w:szCs w:val="24"/>
          <w:lang w:val="en-GB"/>
        </w:rPr>
        <w:t>the Netherlands</w:t>
      </w:r>
      <w:r w:rsidRPr="00C85564">
        <w:rPr>
          <w:sz w:val="24"/>
          <w:szCs w:val="24"/>
          <w:lang w:val="en-GB"/>
        </w:rPr>
        <w:t>,  there is now a set of standard contracts for self-employed persons and their clients and it is the clients who are liable for BSE.</w:t>
      </w:r>
    </w:p>
    <w:p w:rsidR="00870CB5" w:rsidRDefault="00CA55D8" w:rsidP="00AA2992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Some countries, moreover, have ‘hybrid’ categories of employment</w:t>
      </w:r>
      <w:r w:rsidR="00391445">
        <w:rPr>
          <w:sz w:val="24"/>
          <w:szCs w:val="24"/>
          <w:lang w:val="en-GB"/>
        </w:rPr>
        <w:t xml:space="preserve"> status, which don’t </w:t>
      </w:r>
      <w:r w:rsidRPr="00C85564">
        <w:rPr>
          <w:sz w:val="24"/>
          <w:szCs w:val="24"/>
          <w:lang w:val="en-GB"/>
        </w:rPr>
        <w:t xml:space="preserve">necessarily solve the problem of BSE. </w:t>
      </w:r>
    </w:p>
    <w:p w:rsidR="00870CB5" w:rsidRPr="00AF70FC" w:rsidRDefault="00870CB5" w:rsidP="00AA2992">
      <w:pPr>
        <w:rPr>
          <w:rFonts w:ascii="Times New Roman" w:hAnsi="Times New Roman" w:cs="Times New Roman"/>
          <w:b/>
          <w:sz w:val="24"/>
          <w:szCs w:val="24"/>
        </w:rPr>
      </w:pPr>
      <w:r w:rsidRPr="00AF70FC">
        <w:rPr>
          <w:b/>
          <w:sz w:val="24"/>
          <w:szCs w:val="24"/>
        </w:rPr>
        <w:lastRenderedPageBreak/>
        <w:t>Austria</w:t>
      </w:r>
      <w:r w:rsidR="00AF70FC" w:rsidRPr="00AF70FC">
        <w:rPr>
          <w:b/>
          <w:sz w:val="24"/>
          <w:szCs w:val="24"/>
        </w:rPr>
        <w:t xml:space="preserve"> - three categories of self-employed workers</w:t>
      </w:r>
    </w:p>
    <w:p w:rsidR="00870CB5" w:rsidRPr="00C85564" w:rsidRDefault="00870CB5" w:rsidP="00870CB5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There are a </w:t>
      </w:r>
      <w:r w:rsidR="00250EE7">
        <w:rPr>
          <w:sz w:val="24"/>
          <w:szCs w:val="24"/>
          <w:lang w:val="en-GB"/>
        </w:rPr>
        <w:t>three</w:t>
      </w:r>
      <w:r w:rsidRPr="00C85564">
        <w:rPr>
          <w:sz w:val="24"/>
          <w:szCs w:val="24"/>
          <w:lang w:val="en-GB"/>
        </w:rPr>
        <w:t xml:space="preserve"> types of self-employment in Austria, as follows: </w:t>
      </w:r>
    </w:p>
    <w:p w:rsidR="00870CB5" w:rsidRPr="00AF70FC" w:rsidRDefault="00870CB5" w:rsidP="00AF70FC">
      <w:pPr>
        <w:pStyle w:val="Lijstalinea"/>
        <w:numPr>
          <w:ilvl w:val="0"/>
          <w:numId w:val="9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 xml:space="preserve">Dependent self-employed, </w:t>
      </w:r>
    </w:p>
    <w:p w:rsidR="00870CB5" w:rsidRPr="00AF70FC" w:rsidRDefault="00870CB5" w:rsidP="00AF70FC">
      <w:pPr>
        <w:pStyle w:val="Lijstalinea"/>
        <w:numPr>
          <w:ilvl w:val="0"/>
          <w:numId w:val="9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 xml:space="preserve">New self-employed, </w:t>
      </w:r>
    </w:p>
    <w:p w:rsidR="00870CB5" w:rsidRPr="00AF70FC" w:rsidRDefault="00870CB5" w:rsidP="00AF70FC">
      <w:pPr>
        <w:pStyle w:val="Lijstalinea"/>
        <w:numPr>
          <w:ilvl w:val="0"/>
          <w:numId w:val="9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>One-person companies.</w:t>
      </w:r>
    </w:p>
    <w:p w:rsidR="00870CB5" w:rsidRPr="00C85564" w:rsidRDefault="00870CB5" w:rsidP="00870CB5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Dependent self-employed</w:t>
      </w:r>
      <w:r w:rsidR="00895566" w:rsidRPr="00C85564">
        <w:rPr>
          <w:sz w:val="24"/>
          <w:szCs w:val="24"/>
          <w:lang w:val="en-GB"/>
        </w:rPr>
        <w:t xml:space="preserve"> contractors in Austria</w:t>
      </w:r>
      <w:r w:rsidRPr="00C85564">
        <w:rPr>
          <w:sz w:val="24"/>
          <w:szCs w:val="24"/>
          <w:lang w:val="en-GB"/>
        </w:rPr>
        <w:t xml:space="preserve"> are insured in the same way as employees, </w:t>
      </w:r>
      <w:r w:rsidR="00507B63">
        <w:rPr>
          <w:sz w:val="24"/>
          <w:szCs w:val="24"/>
          <w:lang w:val="en-GB"/>
        </w:rPr>
        <w:t>but labour law does not apply. This</w:t>
      </w:r>
      <w:r w:rsidRPr="00C85564">
        <w:rPr>
          <w:sz w:val="24"/>
          <w:szCs w:val="24"/>
          <w:lang w:val="en-GB"/>
        </w:rPr>
        <w:t xml:space="preserve"> means that there are no collective agreements for wages, there is no holiday entitlement and no protection from dismissal.</w:t>
      </w:r>
    </w:p>
    <w:p w:rsidR="00870CB5" w:rsidRPr="00C85564" w:rsidRDefault="00870CB5" w:rsidP="00870CB5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New self-employed workers are insured in the same way as other self-employed persons. When registering for social insurance, a check is carried out to find out if it is really self-employment or rather dependent contractors or employees. </w:t>
      </w:r>
    </w:p>
    <w:p w:rsidR="004E52EA" w:rsidRPr="00C85564" w:rsidRDefault="009F3602" w:rsidP="004E52EA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In addition, one-person companies with a trade licence are often in the same situation. </w:t>
      </w:r>
      <w:r w:rsidR="004E52EA" w:rsidRPr="00C85564">
        <w:rPr>
          <w:sz w:val="24"/>
          <w:szCs w:val="24"/>
          <w:lang w:val="en-GB"/>
        </w:rPr>
        <w:t>Their number has</w:t>
      </w:r>
      <w:r w:rsidR="004E52EA" w:rsidRPr="00C85564">
        <w:rPr>
          <w:sz w:val="24"/>
          <w:szCs w:val="24"/>
          <w:lang w:val="en-GB"/>
        </w:rPr>
        <w:t xml:space="preserve"> increase</w:t>
      </w:r>
      <w:r w:rsidR="004E52EA" w:rsidRPr="00C85564">
        <w:rPr>
          <w:sz w:val="24"/>
          <w:szCs w:val="24"/>
          <w:lang w:val="en-GB"/>
        </w:rPr>
        <w:t>d, which</w:t>
      </w:r>
      <w:r w:rsidR="004E52EA" w:rsidRPr="00C85564">
        <w:rPr>
          <w:sz w:val="24"/>
          <w:szCs w:val="24"/>
          <w:lang w:val="en-GB"/>
        </w:rPr>
        <w:t xml:space="preserve"> is in part due to the issuing of trade licenses for simple tasks</w:t>
      </w:r>
      <w:r w:rsidR="004E52EA" w:rsidRPr="00C85564">
        <w:rPr>
          <w:sz w:val="24"/>
          <w:szCs w:val="24"/>
          <w:lang w:val="en-GB"/>
        </w:rPr>
        <w:t>.</w:t>
      </w:r>
    </w:p>
    <w:p w:rsidR="00AF70FC" w:rsidRPr="00AF70FC" w:rsidRDefault="00AF70FC" w:rsidP="00F11A3C">
      <w:pPr>
        <w:rPr>
          <w:b/>
          <w:sz w:val="24"/>
          <w:szCs w:val="24"/>
          <w:lang w:val="en-GB"/>
        </w:rPr>
      </w:pPr>
      <w:r w:rsidRPr="00AF70FC">
        <w:rPr>
          <w:b/>
          <w:sz w:val="24"/>
          <w:szCs w:val="24"/>
          <w:lang w:val="en-GB"/>
        </w:rPr>
        <w:t>Italy - convert BSE contracts into open-ended contracts</w:t>
      </w:r>
    </w:p>
    <w:p w:rsidR="003E0CBE" w:rsidRPr="00C85564" w:rsidRDefault="00E83E34" w:rsidP="00F11A3C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In 2015</w:t>
      </w:r>
      <w:r w:rsidR="003E0CBE" w:rsidRPr="00C85564">
        <w:rPr>
          <w:sz w:val="24"/>
          <w:szCs w:val="24"/>
          <w:lang w:val="en-GB"/>
        </w:rPr>
        <w:t xml:space="preserve"> a reform has been introduced </w:t>
      </w:r>
      <w:r w:rsidRPr="00C85564">
        <w:rPr>
          <w:sz w:val="24"/>
          <w:szCs w:val="24"/>
          <w:lang w:val="en-GB"/>
        </w:rPr>
        <w:t>i</w:t>
      </w:r>
      <w:r w:rsidRPr="00C85564">
        <w:rPr>
          <w:sz w:val="24"/>
          <w:szCs w:val="24"/>
          <w:lang w:val="en-GB"/>
        </w:rPr>
        <w:t xml:space="preserve">n </w:t>
      </w:r>
      <w:r w:rsidRPr="00AF70FC">
        <w:rPr>
          <w:b/>
          <w:sz w:val="24"/>
          <w:szCs w:val="24"/>
          <w:lang w:val="en-GB"/>
        </w:rPr>
        <w:t>Italy</w:t>
      </w:r>
      <w:r w:rsidRPr="00C85564">
        <w:rPr>
          <w:sz w:val="24"/>
          <w:szCs w:val="24"/>
          <w:lang w:val="en-GB"/>
        </w:rPr>
        <w:t xml:space="preserve"> </w:t>
      </w:r>
      <w:r w:rsidR="003E0CBE" w:rsidRPr="00C85564">
        <w:rPr>
          <w:sz w:val="24"/>
          <w:szCs w:val="24"/>
          <w:lang w:val="en-GB"/>
        </w:rPr>
        <w:t>to try to convert contracts</w:t>
      </w:r>
      <w:r w:rsidR="00507B63">
        <w:rPr>
          <w:sz w:val="24"/>
          <w:szCs w:val="24"/>
          <w:lang w:val="en-GB"/>
        </w:rPr>
        <w:t xml:space="preserve"> for ‘</w:t>
      </w:r>
      <w:r w:rsidR="00507B63" w:rsidRPr="00C85564">
        <w:rPr>
          <w:sz w:val="24"/>
          <w:szCs w:val="24"/>
          <w:lang w:val="en-GB"/>
        </w:rPr>
        <w:t>Occasional and project-based collaborations’</w:t>
      </w:r>
      <w:r w:rsidR="003E0CBE" w:rsidRPr="00C85564">
        <w:rPr>
          <w:sz w:val="24"/>
          <w:szCs w:val="24"/>
          <w:lang w:val="en-GB"/>
        </w:rPr>
        <w:t xml:space="preserve"> which were BSE into open-ended contracts. </w:t>
      </w:r>
      <w:r w:rsidR="00507B63">
        <w:rPr>
          <w:sz w:val="24"/>
          <w:szCs w:val="24"/>
          <w:lang w:val="en-GB"/>
        </w:rPr>
        <w:t xml:space="preserve">Employers who use these BSE </w:t>
      </w:r>
      <w:r w:rsidR="00F11A3C" w:rsidRPr="00C85564">
        <w:rPr>
          <w:sz w:val="24"/>
          <w:szCs w:val="24"/>
          <w:lang w:val="en-GB"/>
        </w:rPr>
        <w:t>contracts</w:t>
      </w:r>
      <w:r w:rsidRPr="00C85564">
        <w:rPr>
          <w:sz w:val="24"/>
          <w:szCs w:val="24"/>
          <w:lang w:val="en-GB"/>
        </w:rPr>
        <w:t xml:space="preserve"> nowadays</w:t>
      </w:r>
      <w:r w:rsidR="00F11A3C" w:rsidRPr="00C85564">
        <w:rPr>
          <w:sz w:val="24"/>
          <w:szCs w:val="24"/>
          <w:lang w:val="en-GB"/>
        </w:rPr>
        <w:t xml:space="preserve"> in this way are fined.</w:t>
      </w:r>
    </w:p>
    <w:p w:rsidR="00F11A3C" w:rsidRDefault="00F11A3C" w:rsidP="00F11A3C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There </w:t>
      </w:r>
      <w:r w:rsidR="00E83E34" w:rsidRPr="00C85564">
        <w:rPr>
          <w:sz w:val="24"/>
          <w:szCs w:val="24"/>
          <w:lang w:val="en-GB"/>
        </w:rPr>
        <w:t>is also a certification system. E</w:t>
      </w:r>
      <w:r w:rsidRPr="00C85564">
        <w:rPr>
          <w:sz w:val="24"/>
          <w:szCs w:val="24"/>
          <w:lang w:val="en-GB"/>
        </w:rPr>
        <w:t xml:space="preserve">mployers and workers can receive a formal statement (issued by authorised bodies) </w:t>
      </w:r>
      <w:r w:rsidR="00E83E34" w:rsidRPr="00C85564">
        <w:rPr>
          <w:sz w:val="24"/>
          <w:szCs w:val="24"/>
          <w:lang w:val="en-GB"/>
        </w:rPr>
        <w:t>which certifies</w:t>
      </w:r>
      <w:r w:rsidRPr="00C85564">
        <w:rPr>
          <w:sz w:val="24"/>
          <w:szCs w:val="24"/>
          <w:lang w:val="en-GB"/>
        </w:rPr>
        <w:t xml:space="preserve"> the regularity of the contracts. </w:t>
      </w:r>
    </w:p>
    <w:p w:rsidR="00AF70FC" w:rsidRPr="00AF70FC" w:rsidRDefault="00AF70FC" w:rsidP="00F11A3C">
      <w:pPr>
        <w:rPr>
          <w:b/>
          <w:sz w:val="24"/>
          <w:szCs w:val="24"/>
          <w:lang w:val="en-GB"/>
        </w:rPr>
      </w:pPr>
      <w:r w:rsidRPr="00AF70FC">
        <w:rPr>
          <w:b/>
          <w:sz w:val="24"/>
          <w:szCs w:val="24"/>
          <w:lang w:val="en-GB"/>
        </w:rPr>
        <w:t>UK -</w:t>
      </w:r>
      <w:r w:rsidR="00507B63">
        <w:rPr>
          <w:b/>
          <w:sz w:val="24"/>
          <w:szCs w:val="24"/>
          <w:lang w:val="en-GB"/>
        </w:rPr>
        <w:t xml:space="preserve"> The Netherlands -</w:t>
      </w:r>
      <w:r w:rsidRPr="00AF70FC">
        <w:rPr>
          <w:b/>
          <w:sz w:val="24"/>
          <w:szCs w:val="24"/>
          <w:lang w:val="en-GB"/>
        </w:rPr>
        <w:t xml:space="preserve"> online portal</w:t>
      </w:r>
      <w:r>
        <w:rPr>
          <w:b/>
          <w:sz w:val="24"/>
          <w:szCs w:val="24"/>
          <w:lang w:val="en-GB"/>
        </w:rPr>
        <w:t xml:space="preserve"> for determining status</w:t>
      </w:r>
    </w:p>
    <w:p w:rsidR="00507B63" w:rsidRDefault="00A93BAF" w:rsidP="00A93BAF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In the </w:t>
      </w:r>
      <w:r w:rsidRPr="00250EE7">
        <w:rPr>
          <w:b/>
          <w:sz w:val="24"/>
          <w:szCs w:val="24"/>
          <w:lang w:val="en-GB"/>
        </w:rPr>
        <w:t>UK</w:t>
      </w:r>
      <w:r w:rsidRPr="00C85564">
        <w:rPr>
          <w:sz w:val="24"/>
          <w:szCs w:val="24"/>
          <w:lang w:val="en-GB"/>
        </w:rPr>
        <w:t xml:space="preserve">, an online portal enables workers and engagers (i.e. employers or contractors) to determine the status for tax purposes of workers and avoid BSE. A similar online tool exists in the </w:t>
      </w:r>
      <w:r w:rsidRPr="00507B63">
        <w:rPr>
          <w:b/>
          <w:sz w:val="24"/>
          <w:szCs w:val="24"/>
          <w:lang w:val="en-GB"/>
        </w:rPr>
        <w:t>Netherlands</w:t>
      </w:r>
      <w:r w:rsidRPr="00C85564">
        <w:rPr>
          <w:sz w:val="24"/>
          <w:szCs w:val="24"/>
          <w:lang w:val="en-GB"/>
        </w:rPr>
        <w:t xml:space="preserve">. </w:t>
      </w:r>
    </w:p>
    <w:p w:rsidR="00AF70FC" w:rsidRPr="00AF70FC" w:rsidRDefault="00AF70FC" w:rsidP="00A93BAF">
      <w:pPr>
        <w:rPr>
          <w:b/>
          <w:sz w:val="24"/>
          <w:szCs w:val="24"/>
          <w:lang w:val="en-GB"/>
        </w:rPr>
      </w:pPr>
      <w:r w:rsidRPr="00AF70FC">
        <w:rPr>
          <w:b/>
          <w:sz w:val="24"/>
          <w:szCs w:val="24"/>
          <w:lang w:val="en-GB"/>
        </w:rPr>
        <w:t>Spain - advanced data analysis techniques to detect BSE</w:t>
      </w:r>
    </w:p>
    <w:p w:rsidR="00B1308A" w:rsidRDefault="00507B63" w:rsidP="000816D1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</w:t>
      </w:r>
      <w:r w:rsidR="000816D1" w:rsidRPr="00C85564">
        <w:rPr>
          <w:sz w:val="24"/>
          <w:szCs w:val="24"/>
          <w:lang w:val="en-GB"/>
        </w:rPr>
        <w:t xml:space="preserve"> national plan</w:t>
      </w:r>
      <w:r>
        <w:rPr>
          <w:sz w:val="24"/>
          <w:szCs w:val="24"/>
          <w:lang w:val="en-GB"/>
        </w:rPr>
        <w:t xml:space="preserve"> was developed to raise awareness </w:t>
      </w:r>
      <w:r w:rsidR="000816D1" w:rsidRPr="00C85564">
        <w:rPr>
          <w:sz w:val="24"/>
          <w:szCs w:val="24"/>
          <w:lang w:val="en-GB"/>
        </w:rPr>
        <w:t xml:space="preserve">and </w:t>
      </w:r>
      <w:r>
        <w:rPr>
          <w:sz w:val="24"/>
          <w:szCs w:val="24"/>
          <w:lang w:val="en-GB"/>
        </w:rPr>
        <w:t xml:space="preserve">establish </w:t>
      </w:r>
      <w:r w:rsidR="000816D1" w:rsidRPr="00C85564">
        <w:rPr>
          <w:sz w:val="24"/>
          <w:szCs w:val="24"/>
          <w:lang w:val="en-GB"/>
        </w:rPr>
        <w:t>new reporting mechanisms, as well as</w:t>
      </w:r>
      <w:r>
        <w:rPr>
          <w:sz w:val="24"/>
          <w:szCs w:val="24"/>
          <w:lang w:val="en-GB"/>
        </w:rPr>
        <w:t xml:space="preserve"> to increase</w:t>
      </w:r>
      <w:r w:rsidR="000816D1" w:rsidRPr="00C85564">
        <w:rPr>
          <w:sz w:val="24"/>
          <w:szCs w:val="24"/>
          <w:lang w:val="en-GB"/>
        </w:rPr>
        <w:t xml:space="preserve"> sanctions. In addition, a new predictive </w:t>
      </w:r>
      <w:r w:rsidR="00D7104C" w:rsidRPr="00D7104C">
        <w:rPr>
          <w:sz w:val="24"/>
          <w:szCs w:val="24"/>
          <w:lang w:val="en-GB"/>
        </w:rPr>
        <w:t>data analysis technique</w:t>
      </w:r>
      <w:r w:rsidR="00D7104C">
        <w:rPr>
          <w:b/>
          <w:sz w:val="24"/>
          <w:szCs w:val="24"/>
          <w:lang w:val="en-GB"/>
        </w:rPr>
        <w:t xml:space="preserve"> </w:t>
      </w:r>
      <w:r w:rsidR="000816D1" w:rsidRPr="00C85564">
        <w:rPr>
          <w:sz w:val="24"/>
          <w:szCs w:val="24"/>
          <w:lang w:val="en-GB"/>
        </w:rPr>
        <w:t xml:space="preserve">was developed to deal with social security fraud and UDW in 2015. The tool aims to enable the Labour and Social Security Inspectorate (LSSI) to identify and select different companies/workers in a possible non-compliance situation, including BSE. </w:t>
      </w:r>
    </w:p>
    <w:p w:rsidR="00AF70FC" w:rsidRPr="00AF70FC" w:rsidRDefault="00AF70FC" w:rsidP="000816D1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Ireland - advisory board comprising different enforcement agencies</w:t>
      </w:r>
    </w:p>
    <w:p w:rsidR="00B1308A" w:rsidRPr="00C85564" w:rsidRDefault="00B1308A" w:rsidP="000816D1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There are also examples of countries establishing advisory bodies that bring together different enforcement agencies and other stakeholders</w:t>
      </w:r>
      <w:r w:rsidR="00D7104C">
        <w:rPr>
          <w:sz w:val="24"/>
          <w:szCs w:val="24"/>
          <w:lang w:val="en-GB"/>
        </w:rPr>
        <w:t>, such as Ireland</w:t>
      </w:r>
      <w:r w:rsidRPr="00C85564">
        <w:rPr>
          <w:sz w:val="24"/>
          <w:szCs w:val="24"/>
          <w:lang w:val="en-GB"/>
        </w:rPr>
        <w:t xml:space="preserve">. </w:t>
      </w:r>
    </w:p>
    <w:p w:rsidR="00B1308A" w:rsidRDefault="00E83E34" w:rsidP="000816D1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The Hidden Economy Monitoring Group (HEMG) </w:t>
      </w:r>
      <w:r w:rsidR="00AF70FC">
        <w:rPr>
          <w:sz w:val="24"/>
          <w:szCs w:val="24"/>
          <w:lang w:val="en-GB"/>
        </w:rPr>
        <w:t xml:space="preserve">in </w:t>
      </w:r>
      <w:r w:rsidR="00AF70FC" w:rsidRPr="00AF70FC">
        <w:rPr>
          <w:b/>
          <w:sz w:val="24"/>
          <w:szCs w:val="24"/>
          <w:lang w:val="en-GB"/>
        </w:rPr>
        <w:t>Ireland</w:t>
      </w:r>
      <w:r w:rsidR="00AF70FC">
        <w:rPr>
          <w:sz w:val="24"/>
          <w:szCs w:val="24"/>
          <w:lang w:val="en-GB"/>
        </w:rPr>
        <w:t xml:space="preserve"> </w:t>
      </w:r>
      <w:r w:rsidR="00B1308A" w:rsidRPr="00C85564">
        <w:rPr>
          <w:sz w:val="24"/>
          <w:szCs w:val="24"/>
          <w:lang w:val="en-GB"/>
        </w:rPr>
        <w:t xml:space="preserve">provides a discussion forum for businesses and unions to </w:t>
      </w:r>
      <w:r w:rsidRPr="00C85564">
        <w:rPr>
          <w:sz w:val="24"/>
          <w:szCs w:val="24"/>
          <w:lang w:val="en-GB"/>
        </w:rPr>
        <w:t>tackle the problems associated with</w:t>
      </w:r>
      <w:r w:rsidR="00B1308A" w:rsidRPr="00C85564">
        <w:rPr>
          <w:sz w:val="24"/>
          <w:szCs w:val="24"/>
          <w:lang w:val="en-GB"/>
        </w:rPr>
        <w:t xml:space="preserve"> the shadow economy. The HEMG helped to produce a ‘Code of Practice for Determining Employment or Self-</w:t>
      </w:r>
      <w:r w:rsidR="00B1308A" w:rsidRPr="00C85564">
        <w:rPr>
          <w:sz w:val="24"/>
          <w:szCs w:val="24"/>
          <w:lang w:val="en-GB"/>
        </w:rPr>
        <w:lastRenderedPageBreak/>
        <w:t xml:space="preserve">Employment Status of Individuals’. </w:t>
      </w:r>
      <w:r w:rsidRPr="00C85564">
        <w:rPr>
          <w:sz w:val="24"/>
          <w:szCs w:val="24"/>
          <w:lang w:val="en-GB"/>
        </w:rPr>
        <w:t>It also</w:t>
      </w:r>
      <w:r w:rsidR="00B1308A" w:rsidRPr="00C85564">
        <w:rPr>
          <w:sz w:val="24"/>
          <w:szCs w:val="24"/>
          <w:lang w:val="en-GB"/>
        </w:rPr>
        <w:t xml:space="preserve"> established new procedures to sharpen the distinction between employment and self-employment</w:t>
      </w:r>
      <w:r w:rsidRPr="00C85564">
        <w:rPr>
          <w:sz w:val="24"/>
          <w:szCs w:val="24"/>
          <w:lang w:val="en-GB"/>
        </w:rPr>
        <w:t>.</w:t>
      </w:r>
    </w:p>
    <w:p w:rsidR="00AF70FC" w:rsidRPr="00AF70FC" w:rsidRDefault="00AF70FC" w:rsidP="000816D1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Greece - joint inspection activity</w:t>
      </w:r>
    </w:p>
    <w:p w:rsidR="00834561" w:rsidRDefault="008B6693" w:rsidP="000816D1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>Collaboration by enforcement bodies also extends to inspection activity.</w:t>
      </w:r>
      <w:r w:rsidR="00AF70FC">
        <w:rPr>
          <w:sz w:val="24"/>
          <w:szCs w:val="24"/>
          <w:lang w:val="en-GB"/>
        </w:rPr>
        <w:t xml:space="preserve"> </w:t>
      </w:r>
      <w:r w:rsidRPr="00C85564">
        <w:rPr>
          <w:sz w:val="24"/>
          <w:szCs w:val="24"/>
          <w:lang w:val="en-GB"/>
        </w:rPr>
        <w:t xml:space="preserve">For example, since 2014, inspections at enterprises and work sites in Greece have been carried out by joint units </w:t>
      </w:r>
      <w:r w:rsidR="00E83E34" w:rsidRPr="00C85564">
        <w:rPr>
          <w:sz w:val="24"/>
          <w:szCs w:val="24"/>
          <w:lang w:val="en-GB"/>
        </w:rPr>
        <w:t xml:space="preserve">of inspectors from different bodies. </w:t>
      </w:r>
    </w:p>
    <w:p w:rsidR="00D7104C" w:rsidRPr="00D7104C" w:rsidRDefault="00D7104C" w:rsidP="000816D1">
      <w:pPr>
        <w:rPr>
          <w:b/>
          <w:sz w:val="24"/>
          <w:szCs w:val="24"/>
          <w:lang w:val="en-GB"/>
        </w:rPr>
      </w:pPr>
      <w:r w:rsidRPr="00D7104C">
        <w:rPr>
          <w:b/>
          <w:sz w:val="24"/>
          <w:szCs w:val="24"/>
          <w:lang w:val="en-GB"/>
        </w:rPr>
        <w:t>Slovenia</w:t>
      </w:r>
      <w:r>
        <w:rPr>
          <w:b/>
          <w:sz w:val="24"/>
          <w:szCs w:val="24"/>
          <w:lang w:val="en-GB"/>
        </w:rPr>
        <w:t xml:space="preserve"> and other countries</w:t>
      </w:r>
      <w:r w:rsidRPr="00D7104C">
        <w:rPr>
          <w:b/>
          <w:sz w:val="24"/>
          <w:szCs w:val="24"/>
          <w:lang w:val="en-GB"/>
        </w:rPr>
        <w:t xml:space="preserve"> - social partners’ aid</w:t>
      </w:r>
    </w:p>
    <w:p w:rsidR="003B7680" w:rsidRPr="00D7104C" w:rsidRDefault="00834561" w:rsidP="000816D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Social partners </w:t>
      </w:r>
      <w:r w:rsidR="00E83E34" w:rsidRPr="00C85564">
        <w:rPr>
          <w:sz w:val="24"/>
          <w:szCs w:val="24"/>
          <w:lang w:val="en-GB"/>
        </w:rPr>
        <w:t>can also be</w:t>
      </w:r>
      <w:r w:rsidRPr="00C85564">
        <w:rPr>
          <w:sz w:val="24"/>
          <w:szCs w:val="24"/>
          <w:lang w:val="en-GB"/>
        </w:rPr>
        <w:t xml:space="preserve"> involved in tackling BSE</w:t>
      </w:r>
      <w:r w:rsidR="00E83E34" w:rsidRPr="00C85564">
        <w:rPr>
          <w:sz w:val="24"/>
          <w:szCs w:val="24"/>
          <w:lang w:val="en-GB"/>
        </w:rPr>
        <w:t xml:space="preserve">. </w:t>
      </w:r>
      <w:r w:rsidRPr="00C85564">
        <w:rPr>
          <w:sz w:val="24"/>
          <w:szCs w:val="24"/>
          <w:lang w:val="en-GB"/>
        </w:rPr>
        <w:t>In Slovenia, the inspectorate and trade unions worked together to deliver an awareness-raising campaign to address dependent self-employment in a public sector broadcasting organisation</w:t>
      </w:r>
      <w:r w:rsidR="00E83E34" w:rsidRPr="00C85564">
        <w:rPr>
          <w:sz w:val="24"/>
          <w:szCs w:val="24"/>
          <w:lang w:val="en-GB"/>
        </w:rPr>
        <w:t>. In other countries,</w:t>
      </w:r>
      <w:r w:rsidRPr="00C85564">
        <w:rPr>
          <w:sz w:val="24"/>
          <w:szCs w:val="24"/>
          <w:lang w:val="en-GB"/>
        </w:rPr>
        <w:t xml:space="preserve"> the social partners </w:t>
      </w:r>
      <w:r w:rsidR="00E83E34" w:rsidRPr="00C85564">
        <w:rPr>
          <w:sz w:val="24"/>
          <w:szCs w:val="24"/>
          <w:lang w:val="en-GB"/>
        </w:rPr>
        <w:t>have helped to develop</w:t>
      </w:r>
      <w:r w:rsidRPr="00C85564">
        <w:rPr>
          <w:sz w:val="24"/>
          <w:szCs w:val="24"/>
          <w:lang w:val="en-GB"/>
        </w:rPr>
        <w:t xml:space="preserve"> ‘social identity c</w:t>
      </w:r>
      <w:r w:rsidR="00D7104C">
        <w:rPr>
          <w:sz w:val="24"/>
          <w:szCs w:val="24"/>
          <w:lang w:val="en-GB"/>
        </w:rPr>
        <w:t xml:space="preserve">ards’, which data </w:t>
      </w:r>
      <w:r w:rsidRPr="00C85564">
        <w:rPr>
          <w:sz w:val="24"/>
          <w:szCs w:val="24"/>
          <w:lang w:val="en-GB"/>
        </w:rPr>
        <w:t>can be shared across borders.</w:t>
      </w:r>
    </w:p>
    <w:p w:rsidR="003B7680" w:rsidRPr="00C85564" w:rsidRDefault="003B7680" w:rsidP="003B7680">
      <w:pPr>
        <w:pStyle w:val="Kop1"/>
        <w:rPr>
          <w:color w:val="002395"/>
          <w:szCs w:val="24"/>
        </w:rPr>
      </w:pPr>
      <w:bookmarkStart w:id="1" w:name="_Hlk482362929"/>
      <w:r w:rsidRPr="00C85564">
        <w:rPr>
          <w:color w:val="002395"/>
          <w:szCs w:val="24"/>
        </w:rPr>
        <w:t>Obstacles to progress in this area</w:t>
      </w:r>
    </w:p>
    <w:bookmarkEnd w:id="1"/>
    <w:p w:rsidR="003B7680" w:rsidRPr="00C85564" w:rsidRDefault="00E83E34" w:rsidP="003B7680">
      <w:pPr>
        <w:rPr>
          <w:sz w:val="24"/>
          <w:szCs w:val="24"/>
          <w:lang w:val="en-GB"/>
        </w:rPr>
      </w:pPr>
      <w:r w:rsidRPr="00C85564">
        <w:rPr>
          <w:sz w:val="24"/>
          <w:szCs w:val="24"/>
          <w:lang w:val="en-GB"/>
        </w:rPr>
        <w:t xml:space="preserve">These are the </w:t>
      </w:r>
      <w:r w:rsidRPr="00AF70FC">
        <w:rPr>
          <w:b/>
          <w:sz w:val="24"/>
          <w:szCs w:val="24"/>
          <w:lang w:val="en-GB"/>
        </w:rPr>
        <w:t>key barriers</w:t>
      </w:r>
      <w:r w:rsidRPr="00C85564">
        <w:rPr>
          <w:sz w:val="24"/>
          <w:szCs w:val="24"/>
          <w:lang w:val="en-GB"/>
        </w:rPr>
        <w:t xml:space="preserve"> to identifying BSE: </w:t>
      </w:r>
      <w:r w:rsidR="00AF70FC">
        <w:rPr>
          <w:sz w:val="24"/>
          <w:szCs w:val="24"/>
          <w:lang w:val="en-GB"/>
        </w:rPr>
        <w:br/>
      </w:r>
      <w:r w:rsidRPr="00C85564">
        <w:rPr>
          <w:sz w:val="24"/>
          <w:szCs w:val="24"/>
          <w:lang w:val="en-GB"/>
        </w:rPr>
        <w:br/>
        <w:t>-T</w:t>
      </w:r>
      <w:r w:rsidR="003B7680" w:rsidRPr="00C85564">
        <w:rPr>
          <w:sz w:val="24"/>
          <w:szCs w:val="24"/>
          <w:lang w:val="en-GB"/>
        </w:rPr>
        <w:t>he lack of a common definition of self-employment;</w:t>
      </w:r>
      <w:r w:rsidRPr="00C85564">
        <w:rPr>
          <w:sz w:val="24"/>
          <w:szCs w:val="24"/>
          <w:lang w:val="en-GB"/>
        </w:rPr>
        <w:br/>
        <w:t>-</w:t>
      </w:r>
      <w:r w:rsidR="003B7680" w:rsidRPr="00C85564">
        <w:rPr>
          <w:sz w:val="24"/>
          <w:szCs w:val="24"/>
          <w:lang w:val="en-GB"/>
        </w:rPr>
        <w:t xml:space="preserve"> its low visibility;</w:t>
      </w:r>
      <w:r w:rsidRPr="00C85564">
        <w:rPr>
          <w:sz w:val="24"/>
          <w:szCs w:val="24"/>
          <w:lang w:val="en-GB"/>
        </w:rPr>
        <w:br/>
        <w:t>-</w:t>
      </w:r>
      <w:r w:rsidR="003B7680" w:rsidRPr="00C85564">
        <w:rPr>
          <w:sz w:val="24"/>
          <w:szCs w:val="24"/>
          <w:lang w:val="en-GB"/>
        </w:rPr>
        <w:t xml:space="preserve"> a lack of reliable data; </w:t>
      </w:r>
      <w:r w:rsidRPr="00C85564">
        <w:rPr>
          <w:sz w:val="24"/>
          <w:szCs w:val="24"/>
          <w:lang w:val="en-GB"/>
        </w:rPr>
        <w:br/>
        <w:t xml:space="preserve">- </w:t>
      </w:r>
      <w:r w:rsidR="003B7680" w:rsidRPr="00C85564">
        <w:rPr>
          <w:sz w:val="24"/>
          <w:szCs w:val="24"/>
          <w:lang w:val="en-GB"/>
        </w:rPr>
        <w:t xml:space="preserve">and the limited sharing of information between authorities.  </w:t>
      </w:r>
      <w:r w:rsidR="00D7104C">
        <w:rPr>
          <w:sz w:val="24"/>
          <w:szCs w:val="24"/>
          <w:lang w:val="en-GB"/>
        </w:rPr>
        <w:br/>
        <w:t>- complexity of subcontracting chains</w:t>
      </w:r>
      <w:r w:rsidR="00D7104C">
        <w:rPr>
          <w:sz w:val="24"/>
          <w:szCs w:val="24"/>
          <w:lang w:val="en-GB"/>
        </w:rPr>
        <w:br/>
        <w:t>- insufficient resources for enforcement agencies</w:t>
      </w:r>
    </w:p>
    <w:p w:rsidR="00B13C2E" w:rsidRPr="00C85564" w:rsidRDefault="00B13C2E" w:rsidP="00B13C2E">
      <w:pPr>
        <w:pStyle w:val="Kop1"/>
        <w:spacing w:before="360"/>
        <w:rPr>
          <w:color w:val="002395"/>
          <w:szCs w:val="24"/>
        </w:rPr>
      </w:pPr>
      <w:r w:rsidRPr="00C85564">
        <w:rPr>
          <w:color w:val="002395"/>
          <w:szCs w:val="24"/>
        </w:rPr>
        <w:t xml:space="preserve">What more can be done to tackle BSE? </w:t>
      </w:r>
    </w:p>
    <w:p w:rsidR="00B13C2E" w:rsidRPr="00AF70FC" w:rsidRDefault="00B13C2E" w:rsidP="00AF70FC">
      <w:pPr>
        <w:pStyle w:val="Lijstalinea"/>
        <w:numPr>
          <w:ilvl w:val="0"/>
          <w:numId w:val="7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>The legislative framework should provide a clear basis for distinguishing between self-employment, employment and dependent self-employment.</w:t>
      </w:r>
    </w:p>
    <w:p w:rsidR="00B13C2E" w:rsidRPr="00AF70FC" w:rsidRDefault="00B13C2E" w:rsidP="00AF70FC">
      <w:pPr>
        <w:pStyle w:val="Lijstalinea"/>
        <w:numPr>
          <w:ilvl w:val="0"/>
          <w:numId w:val="7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>There is a need for collaborative working to tackle this issue, both amongst public organisations and the social partners.</w:t>
      </w:r>
    </w:p>
    <w:p w:rsidR="00B13C2E" w:rsidRPr="00AF70FC" w:rsidRDefault="00B13C2E" w:rsidP="00AF70FC">
      <w:pPr>
        <w:pStyle w:val="Lijstalinea"/>
        <w:numPr>
          <w:ilvl w:val="0"/>
          <w:numId w:val="7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 xml:space="preserve">Enforcement bodies should share data </w:t>
      </w:r>
      <w:r w:rsidR="00E54D78" w:rsidRPr="00AF70FC">
        <w:rPr>
          <w:sz w:val="24"/>
          <w:szCs w:val="24"/>
          <w:lang w:val="en-GB"/>
        </w:rPr>
        <w:t>and various</w:t>
      </w:r>
      <w:r w:rsidRPr="00AF70FC">
        <w:rPr>
          <w:sz w:val="24"/>
          <w:szCs w:val="24"/>
          <w:lang w:val="en-GB"/>
        </w:rPr>
        <w:t xml:space="preserve"> data sources to better understand and target BSE.</w:t>
      </w:r>
    </w:p>
    <w:p w:rsidR="00B13C2E" w:rsidRPr="00AF70FC" w:rsidRDefault="00B13C2E" w:rsidP="00AF70FC">
      <w:pPr>
        <w:pStyle w:val="Lijstalinea"/>
        <w:numPr>
          <w:ilvl w:val="0"/>
          <w:numId w:val="7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>Enforcement bodies should share data across borders.</w:t>
      </w:r>
    </w:p>
    <w:p w:rsidR="00703219" w:rsidRPr="00AF70FC" w:rsidRDefault="00703219" w:rsidP="00AF70FC">
      <w:pPr>
        <w:pStyle w:val="Lijstalinea"/>
        <w:numPr>
          <w:ilvl w:val="0"/>
          <w:numId w:val="7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 xml:space="preserve">The responsibilities of businesses involved in </w:t>
      </w:r>
      <w:r w:rsidR="00E54D78" w:rsidRPr="00AF70FC">
        <w:rPr>
          <w:sz w:val="24"/>
          <w:szCs w:val="24"/>
          <w:lang w:val="en-GB"/>
        </w:rPr>
        <w:t xml:space="preserve">BSE subcontracting arrangements </w:t>
      </w:r>
      <w:r w:rsidRPr="00AF70FC">
        <w:rPr>
          <w:sz w:val="24"/>
          <w:szCs w:val="24"/>
          <w:lang w:val="en-GB"/>
        </w:rPr>
        <w:t xml:space="preserve">should be clarified and clearly communicated. </w:t>
      </w:r>
    </w:p>
    <w:p w:rsidR="00703219" w:rsidRPr="00AF70FC" w:rsidRDefault="00703219" w:rsidP="00AF70FC">
      <w:pPr>
        <w:pStyle w:val="Lijstalinea"/>
        <w:numPr>
          <w:ilvl w:val="0"/>
          <w:numId w:val="7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 xml:space="preserve">Governments could review national legislation in order to determine whether it creates incentives for BSE. </w:t>
      </w:r>
    </w:p>
    <w:p w:rsidR="00703219" w:rsidRDefault="00E54D78" w:rsidP="00AF70FC">
      <w:pPr>
        <w:pStyle w:val="Lijstalinea"/>
        <w:numPr>
          <w:ilvl w:val="0"/>
          <w:numId w:val="7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>T</w:t>
      </w:r>
      <w:r w:rsidRPr="00AF70FC">
        <w:rPr>
          <w:sz w:val="24"/>
          <w:szCs w:val="24"/>
          <w:lang w:val="en-GB"/>
        </w:rPr>
        <w:t>he European Pillar of Fundamental Social Rights</w:t>
      </w:r>
      <w:r w:rsidRPr="00AF70FC">
        <w:rPr>
          <w:sz w:val="24"/>
          <w:szCs w:val="24"/>
          <w:lang w:val="en-GB"/>
        </w:rPr>
        <w:t xml:space="preserve"> should embed </w:t>
      </w:r>
      <w:r w:rsidR="00703219" w:rsidRPr="00AF70FC">
        <w:rPr>
          <w:sz w:val="24"/>
          <w:szCs w:val="24"/>
          <w:lang w:val="en-GB"/>
        </w:rPr>
        <w:t xml:space="preserve">he principle of social protection </w:t>
      </w:r>
      <w:r w:rsidRPr="00AF70FC">
        <w:rPr>
          <w:sz w:val="24"/>
          <w:szCs w:val="24"/>
          <w:lang w:val="en-GB"/>
        </w:rPr>
        <w:t>for self-employed workers.</w:t>
      </w:r>
    </w:p>
    <w:p w:rsidR="00D7104C" w:rsidRPr="00D7104C" w:rsidRDefault="00D7104C" w:rsidP="00D7104C">
      <w:pPr>
        <w:ind w:left="360"/>
        <w:rPr>
          <w:sz w:val="24"/>
          <w:szCs w:val="24"/>
          <w:lang w:val="en-GB"/>
        </w:rPr>
      </w:pPr>
    </w:p>
    <w:p w:rsidR="000C468F" w:rsidRPr="00C85564" w:rsidRDefault="000C468F" w:rsidP="000C468F">
      <w:pPr>
        <w:pStyle w:val="Kop1"/>
        <w:spacing w:before="360"/>
        <w:rPr>
          <w:color w:val="002395"/>
          <w:szCs w:val="24"/>
        </w:rPr>
      </w:pPr>
      <w:r w:rsidRPr="00C85564">
        <w:rPr>
          <w:color w:val="002395"/>
          <w:szCs w:val="24"/>
        </w:rPr>
        <w:lastRenderedPageBreak/>
        <w:t>Key learning outcomes</w:t>
      </w:r>
    </w:p>
    <w:p w:rsidR="000C468F" w:rsidRPr="00C85564" w:rsidRDefault="000C468F" w:rsidP="000C468F">
      <w:pPr>
        <w:pStyle w:val="Bullet1Space"/>
        <w:numPr>
          <w:ilvl w:val="0"/>
          <w:numId w:val="0"/>
        </w:numPr>
        <w:ind w:left="482" w:hanging="340"/>
        <w:jc w:val="both"/>
        <w:rPr>
          <w:sz w:val="24"/>
          <w:szCs w:val="24"/>
        </w:rPr>
      </w:pPr>
    </w:p>
    <w:p w:rsidR="00E54D78" w:rsidRPr="00936C0F" w:rsidRDefault="000C468F" w:rsidP="00936C0F">
      <w:pPr>
        <w:pStyle w:val="Lijstalinea"/>
        <w:numPr>
          <w:ilvl w:val="0"/>
          <w:numId w:val="11"/>
        </w:numPr>
        <w:rPr>
          <w:sz w:val="24"/>
          <w:szCs w:val="24"/>
          <w:lang w:val="en-GB"/>
        </w:rPr>
      </w:pPr>
      <w:r w:rsidRPr="00936C0F">
        <w:rPr>
          <w:sz w:val="24"/>
          <w:szCs w:val="24"/>
          <w:lang w:val="en-GB"/>
        </w:rPr>
        <w:t>BSE results from an often intentional misclassification of the employment relationship of declared work</w:t>
      </w:r>
      <w:r w:rsidR="00E54D78" w:rsidRPr="00936C0F">
        <w:rPr>
          <w:sz w:val="24"/>
          <w:szCs w:val="24"/>
          <w:lang w:val="en-GB"/>
        </w:rPr>
        <w:t>. T</w:t>
      </w:r>
      <w:r w:rsidRPr="00936C0F">
        <w:rPr>
          <w:sz w:val="24"/>
          <w:szCs w:val="24"/>
          <w:lang w:val="en-GB"/>
        </w:rPr>
        <w:t xml:space="preserve">herefore </w:t>
      </w:r>
      <w:r w:rsidR="00E54D78" w:rsidRPr="00936C0F">
        <w:rPr>
          <w:sz w:val="24"/>
          <w:szCs w:val="24"/>
          <w:lang w:val="en-GB"/>
        </w:rPr>
        <w:t xml:space="preserve">BSE </w:t>
      </w:r>
      <w:r w:rsidRPr="00936C0F">
        <w:rPr>
          <w:sz w:val="24"/>
          <w:szCs w:val="24"/>
          <w:lang w:val="en-GB"/>
        </w:rPr>
        <w:t xml:space="preserve">can be considered </w:t>
      </w:r>
      <w:r w:rsidR="00E54D78" w:rsidRPr="00936C0F">
        <w:rPr>
          <w:sz w:val="24"/>
          <w:szCs w:val="24"/>
          <w:lang w:val="en-GB"/>
        </w:rPr>
        <w:t xml:space="preserve">as </w:t>
      </w:r>
      <w:r w:rsidRPr="00936C0F">
        <w:rPr>
          <w:sz w:val="24"/>
          <w:szCs w:val="24"/>
          <w:lang w:val="en-GB"/>
        </w:rPr>
        <w:t xml:space="preserve">‘falsely-declared’ employment relations or misclassified dependent employment. </w:t>
      </w:r>
    </w:p>
    <w:p w:rsidR="000C468F" w:rsidRPr="00936C0F" w:rsidRDefault="00E54D78" w:rsidP="00936C0F">
      <w:pPr>
        <w:pStyle w:val="Lijstalinea"/>
        <w:numPr>
          <w:ilvl w:val="0"/>
          <w:numId w:val="10"/>
        </w:numPr>
        <w:rPr>
          <w:sz w:val="24"/>
          <w:szCs w:val="24"/>
          <w:lang w:val="en-GB"/>
        </w:rPr>
      </w:pPr>
      <w:r w:rsidRPr="00936C0F">
        <w:rPr>
          <w:sz w:val="24"/>
          <w:szCs w:val="24"/>
          <w:lang w:val="en-GB"/>
        </w:rPr>
        <w:t>C</w:t>
      </w:r>
      <w:r w:rsidR="000C468F" w:rsidRPr="00936C0F">
        <w:rPr>
          <w:sz w:val="24"/>
          <w:szCs w:val="24"/>
          <w:lang w:val="en-GB"/>
        </w:rPr>
        <w:t>lear Member State criteria are required to determine what is dependent employment and self-employment.</w:t>
      </w:r>
    </w:p>
    <w:p w:rsidR="000C468F" w:rsidRPr="00936C0F" w:rsidRDefault="00E54D78" w:rsidP="00936C0F">
      <w:pPr>
        <w:pStyle w:val="Lijstalinea"/>
        <w:numPr>
          <w:ilvl w:val="0"/>
          <w:numId w:val="10"/>
        </w:numPr>
        <w:rPr>
          <w:sz w:val="24"/>
          <w:szCs w:val="24"/>
          <w:lang w:val="en-GB"/>
        </w:rPr>
      </w:pPr>
      <w:r w:rsidRPr="00936C0F">
        <w:rPr>
          <w:sz w:val="24"/>
          <w:szCs w:val="24"/>
          <w:lang w:val="en-GB"/>
        </w:rPr>
        <w:t>P</w:t>
      </w:r>
      <w:r w:rsidR="000C468F" w:rsidRPr="00936C0F">
        <w:rPr>
          <w:sz w:val="24"/>
          <w:szCs w:val="24"/>
          <w:lang w:val="en-GB"/>
        </w:rPr>
        <w:t xml:space="preserve">olicies that encourage entrepreneurship should not </w:t>
      </w:r>
      <w:r w:rsidRPr="00936C0F">
        <w:rPr>
          <w:sz w:val="24"/>
          <w:szCs w:val="24"/>
          <w:lang w:val="en-GB"/>
        </w:rPr>
        <w:t>unintentionally</w:t>
      </w:r>
      <w:r w:rsidR="000C468F" w:rsidRPr="00936C0F">
        <w:rPr>
          <w:sz w:val="24"/>
          <w:szCs w:val="24"/>
          <w:lang w:val="en-GB"/>
        </w:rPr>
        <w:t xml:space="preserve"> contribute to BSE.</w:t>
      </w:r>
    </w:p>
    <w:p w:rsidR="000C468F" w:rsidRPr="00AF70FC" w:rsidRDefault="000C468F" w:rsidP="00AF70FC">
      <w:pPr>
        <w:pStyle w:val="Lijstalinea"/>
        <w:numPr>
          <w:ilvl w:val="0"/>
          <w:numId w:val="8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>Developing effective enforcement activity is vital if BSE is to be successfully tackled.</w:t>
      </w:r>
    </w:p>
    <w:p w:rsidR="000C468F" w:rsidRPr="00AF70FC" w:rsidRDefault="000C468F" w:rsidP="00AF70FC">
      <w:pPr>
        <w:pStyle w:val="Lijstalinea"/>
        <w:numPr>
          <w:ilvl w:val="0"/>
          <w:numId w:val="8"/>
        </w:numPr>
        <w:rPr>
          <w:sz w:val="24"/>
          <w:szCs w:val="24"/>
          <w:lang w:val="en-GB"/>
        </w:rPr>
      </w:pPr>
      <w:r w:rsidRPr="00AF70FC">
        <w:rPr>
          <w:sz w:val="24"/>
          <w:szCs w:val="24"/>
          <w:lang w:val="en-GB"/>
        </w:rPr>
        <w:t>Data sharing by enfor</w:t>
      </w:r>
      <w:bookmarkStart w:id="2" w:name="_GoBack"/>
      <w:bookmarkEnd w:id="2"/>
      <w:r w:rsidRPr="00AF70FC">
        <w:rPr>
          <w:sz w:val="24"/>
          <w:szCs w:val="24"/>
          <w:lang w:val="en-GB"/>
        </w:rPr>
        <w:t>cement bodies within (but also across) borders is extremely important.</w:t>
      </w:r>
    </w:p>
    <w:p w:rsidR="000C468F" w:rsidRPr="00C85564" w:rsidRDefault="000C468F" w:rsidP="00C85564">
      <w:pPr>
        <w:rPr>
          <w:sz w:val="24"/>
          <w:szCs w:val="24"/>
          <w:lang w:val="en-GB"/>
        </w:rPr>
      </w:pPr>
    </w:p>
    <w:p w:rsidR="000C468F" w:rsidRPr="00C85564" w:rsidRDefault="000C468F" w:rsidP="00C85564">
      <w:pPr>
        <w:rPr>
          <w:sz w:val="24"/>
          <w:szCs w:val="24"/>
          <w:lang w:val="en-GB"/>
        </w:rPr>
      </w:pPr>
    </w:p>
    <w:p w:rsidR="000C468F" w:rsidRPr="00C85564" w:rsidRDefault="000C468F" w:rsidP="00C85564">
      <w:pPr>
        <w:rPr>
          <w:sz w:val="24"/>
          <w:szCs w:val="24"/>
          <w:lang w:val="en-GB"/>
        </w:rPr>
      </w:pPr>
    </w:p>
    <w:p w:rsidR="00946B6A" w:rsidRPr="00C85564" w:rsidRDefault="00946B6A" w:rsidP="00703219">
      <w:pPr>
        <w:rPr>
          <w:sz w:val="24"/>
          <w:szCs w:val="24"/>
          <w:lang w:val="en-GB"/>
        </w:rPr>
      </w:pPr>
    </w:p>
    <w:p w:rsidR="003B7680" w:rsidRPr="00C85564" w:rsidRDefault="003B7680" w:rsidP="003B7680">
      <w:pPr>
        <w:rPr>
          <w:sz w:val="24"/>
          <w:szCs w:val="24"/>
          <w:lang w:val="en-GB"/>
        </w:rPr>
      </w:pPr>
    </w:p>
    <w:p w:rsidR="003B7680" w:rsidRPr="00C85564" w:rsidRDefault="003B7680" w:rsidP="000816D1">
      <w:pPr>
        <w:rPr>
          <w:sz w:val="24"/>
          <w:szCs w:val="24"/>
          <w:lang w:val="en-GB"/>
        </w:rPr>
      </w:pPr>
    </w:p>
    <w:sectPr w:rsidR="003B7680" w:rsidRPr="00C855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1ED" w:rsidRDefault="008831ED" w:rsidP="00627599">
      <w:pPr>
        <w:spacing w:after="0" w:line="240" w:lineRule="auto"/>
      </w:pPr>
      <w:r>
        <w:separator/>
      </w:r>
    </w:p>
  </w:endnote>
  <w:endnote w:type="continuationSeparator" w:id="0">
    <w:p w:rsidR="008831ED" w:rsidRDefault="008831ED" w:rsidP="00627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0300503"/>
      <w:docPartObj>
        <w:docPartGallery w:val="Page Numbers (Bottom of Page)"/>
        <w:docPartUnique/>
      </w:docPartObj>
    </w:sdtPr>
    <w:sdtEndPr/>
    <w:sdtContent>
      <w:p w:rsidR="00627599" w:rsidRDefault="0062759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C0F" w:rsidRPr="00936C0F">
          <w:rPr>
            <w:noProof/>
            <w:lang w:val="nl-NL"/>
          </w:rPr>
          <w:t>5</w:t>
        </w:r>
        <w:r>
          <w:fldChar w:fldCharType="end"/>
        </w:r>
      </w:p>
    </w:sdtContent>
  </w:sdt>
  <w:p w:rsidR="00627599" w:rsidRDefault="0062759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1ED" w:rsidRDefault="008831ED" w:rsidP="00627599">
      <w:pPr>
        <w:spacing w:after="0" w:line="240" w:lineRule="auto"/>
      </w:pPr>
      <w:r>
        <w:separator/>
      </w:r>
    </w:p>
  </w:footnote>
  <w:footnote w:type="continuationSeparator" w:id="0">
    <w:p w:rsidR="008831ED" w:rsidRDefault="008831ED" w:rsidP="00627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708E4B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DD29AA"/>
    <w:multiLevelType w:val="hybridMultilevel"/>
    <w:tmpl w:val="3C4A711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05C3C"/>
    <w:multiLevelType w:val="hybridMultilevel"/>
    <w:tmpl w:val="5BC6120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C2CEF"/>
    <w:multiLevelType w:val="hybridMultilevel"/>
    <w:tmpl w:val="1EA6192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607EC"/>
    <w:multiLevelType w:val="hybridMultilevel"/>
    <w:tmpl w:val="24A2D93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C4F08"/>
    <w:multiLevelType w:val="multilevel"/>
    <w:tmpl w:val="688C2EF2"/>
    <w:numStyleLink w:val="NumbListHeading"/>
  </w:abstractNum>
  <w:abstractNum w:abstractNumId="6" w15:restartNumberingAfterBreak="0">
    <w:nsid w:val="34C65847"/>
    <w:multiLevelType w:val="multilevel"/>
    <w:tmpl w:val="688C2EF2"/>
    <w:styleLink w:val="NumbListHeading"/>
    <w:lvl w:ilvl="0">
      <w:start w:val="1"/>
      <w:numFmt w:val="decimal"/>
      <w:pStyle w:val="Kop1"/>
      <w:isLgl/>
      <w:lvlText w:val="%1"/>
      <w:lvlJc w:val="left"/>
      <w:pPr>
        <w:tabs>
          <w:tab w:val="num" w:pos="2098"/>
        </w:tabs>
        <w:ind w:left="2098" w:hanging="68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22"/>
        </w:tabs>
        <w:ind w:left="822" w:hanging="68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spacing w:val="-20"/>
      </w:rPr>
    </w:lvl>
    <w:lvl w:ilvl="4">
      <w:start w:val="1"/>
      <w:numFmt w:val="none"/>
      <w:lvlText w:val="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0"/>
        </w:tabs>
        <w:ind w:left="680" w:firstLine="0"/>
      </w:pPr>
      <w:rPr>
        <w:rFonts w:hint="default"/>
      </w:rPr>
    </w:lvl>
  </w:abstractNum>
  <w:abstractNum w:abstractNumId="7" w15:restartNumberingAfterBreak="0">
    <w:nsid w:val="3DB92A87"/>
    <w:multiLevelType w:val="multilevel"/>
    <w:tmpl w:val="5DD89CAE"/>
    <w:styleLink w:val="Bullets"/>
    <w:lvl w:ilvl="0">
      <w:start w:val="1"/>
      <w:numFmt w:val="bullet"/>
      <w:pStyle w:val="Bullet1"/>
      <w:lvlText w:val=""/>
      <w:lvlJc w:val="left"/>
      <w:pPr>
        <w:tabs>
          <w:tab w:val="num" w:pos="482"/>
        </w:tabs>
        <w:ind w:left="482" w:hanging="340"/>
      </w:pPr>
      <w:rPr>
        <w:rFonts w:ascii="Wingdings" w:hAnsi="Wingdings" w:hint="default"/>
        <w:color w:val="002395"/>
        <w:sz w:val="24"/>
      </w:rPr>
    </w:lvl>
    <w:lvl w:ilvl="1">
      <w:start w:val="1"/>
      <w:numFmt w:val="bullet"/>
      <w:lvlText w:val="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8496B0" w:themeColor="text2" w:themeTint="99"/>
        <w:sz w:val="24"/>
      </w:rPr>
    </w:lvl>
    <w:lvl w:ilvl="2">
      <w:start w:val="1"/>
      <w:numFmt w:val="bullet"/>
      <w:lvlText w:val="◦"/>
      <w:lvlJc w:val="left"/>
      <w:pPr>
        <w:tabs>
          <w:tab w:val="num" w:pos="1361"/>
        </w:tabs>
        <w:ind w:left="1361" w:hanging="340"/>
      </w:pPr>
      <w:rPr>
        <w:rFonts w:ascii="Arial" w:hAnsi="Arial" w:hint="default"/>
        <w:color w:val="44546A" w:themeColor="text2"/>
        <w:sz w:val="28"/>
      </w:rPr>
    </w:lvl>
    <w:lvl w:ilvl="3">
      <w:start w:val="1"/>
      <w:numFmt w:val="none"/>
      <w:lvlText w:val=""/>
      <w:lvlJc w:val="left"/>
      <w:pPr>
        <w:tabs>
          <w:tab w:val="num" w:pos="1361"/>
        </w:tabs>
        <w:ind w:left="136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361"/>
        </w:tabs>
        <w:ind w:left="1361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361"/>
        </w:tabs>
        <w:ind w:left="1361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361"/>
        </w:tabs>
        <w:ind w:left="1361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361"/>
        </w:tabs>
        <w:ind w:left="13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361"/>
        </w:tabs>
        <w:ind w:left="1361" w:firstLine="0"/>
      </w:pPr>
      <w:rPr>
        <w:rFonts w:hint="default"/>
      </w:rPr>
    </w:lvl>
  </w:abstractNum>
  <w:abstractNum w:abstractNumId="8" w15:restartNumberingAfterBreak="0">
    <w:nsid w:val="43A1377B"/>
    <w:multiLevelType w:val="hybridMultilevel"/>
    <w:tmpl w:val="73D2CA5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C469DB"/>
    <w:multiLevelType w:val="hybridMultilevel"/>
    <w:tmpl w:val="A2DAF97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E299C"/>
    <w:multiLevelType w:val="hybridMultilevel"/>
    <w:tmpl w:val="087E47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10"/>
  </w:num>
  <w:num w:numId="6">
    <w:abstractNumId w:val="2"/>
  </w:num>
  <w:num w:numId="7">
    <w:abstractNumId w:val="8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873"/>
    <w:rsid w:val="000816D1"/>
    <w:rsid w:val="000C468F"/>
    <w:rsid w:val="000C571F"/>
    <w:rsid w:val="000F7369"/>
    <w:rsid w:val="00155055"/>
    <w:rsid w:val="00250EE7"/>
    <w:rsid w:val="00293873"/>
    <w:rsid w:val="00382DB5"/>
    <w:rsid w:val="00391445"/>
    <w:rsid w:val="00396521"/>
    <w:rsid w:val="003A1020"/>
    <w:rsid w:val="003B7680"/>
    <w:rsid w:val="003E0CBE"/>
    <w:rsid w:val="00495827"/>
    <w:rsid w:val="004C7421"/>
    <w:rsid w:val="004E52EA"/>
    <w:rsid w:val="00507B63"/>
    <w:rsid w:val="0051678E"/>
    <w:rsid w:val="00522C0C"/>
    <w:rsid w:val="00565807"/>
    <w:rsid w:val="00574CC6"/>
    <w:rsid w:val="005D452A"/>
    <w:rsid w:val="00627599"/>
    <w:rsid w:val="006F4F9B"/>
    <w:rsid w:val="00703219"/>
    <w:rsid w:val="00715BB0"/>
    <w:rsid w:val="007E717A"/>
    <w:rsid w:val="00832DDC"/>
    <w:rsid w:val="00834561"/>
    <w:rsid w:val="00870CB5"/>
    <w:rsid w:val="008831ED"/>
    <w:rsid w:val="00895566"/>
    <w:rsid w:val="008B548F"/>
    <w:rsid w:val="008B6693"/>
    <w:rsid w:val="008D1C5C"/>
    <w:rsid w:val="00936C0F"/>
    <w:rsid w:val="00946B6A"/>
    <w:rsid w:val="009F3602"/>
    <w:rsid w:val="00A36D37"/>
    <w:rsid w:val="00A43546"/>
    <w:rsid w:val="00A93BAF"/>
    <w:rsid w:val="00AA2992"/>
    <w:rsid w:val="00AF70FC"/>
    <w:rsid w:val="00B1308A"/>
    <w:rsid w:val="00B13C2E"/>
    <w:rsid w:val="00C85564"/>
    <w:rsid w:val="00CA55D8"/>
    <w:rsid w:val="00D7104C"/>
    <w:rsid w:val="00DB0298"/>
    <w:rsid w:val="00DD6FC7"/>
    <w:rsid w:val="00E057B7"/>
    <w:rsid w:val="00E54D78"/>
    <w:rsid w:val="00E664EA"/>
    <w:rsid w:val="00E83E34"/>
    <w:rsid w:val="00ED3DE4"/>
    <w:rsid w:val="00ED7497"/>
    <w:rsid w:val="00F11A3C"/>
    <w:rsid w:val="00F67005"/>
    <w:rsid w:val="00FE70AE"/>
    <w:rsid w:val="00FF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9E1B"/>
  <w15:chartTrackingRefBased/>
  <w15:docId w15:val="{9BCAEA7E-3409-4B46-983A-2B074492F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4" w:qFormat="1"/>
    <w:lsdException w:name="heading 2" w:semiHidden="1" w:uiPriority="6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paragraph" w:styleId="Kop1">
    <w:name w:val="heading 1"/>
    <w:aliases w:val="Heading1,AnnexHeading,AnnexHeading NoPage,ESHeading 1,Heading 1NoSpace"/>
    <w:basedOn w:val="Standaard"/>
    <w:next w:val="Standaard"/>
    <w:link w:val="Kop1Char"/>
    <w:uiPriority w:val="4"/>
    <w:qFormat/>
    <w:rsid w:val="00574CC6"/>
    <w:pPr>
      <w:keepNext/>
      <w:keepLines/>
      <w:numPr>
        <w:numId w:val="2"/>
      </w:numPr>
      <w:tabs>
        <w:tab w:val="clear" w:pos="2098"/>
        <w:tab w:val="num" w:pos="680"/>
      </w:tabs>
      <w:spacing w:before="120" w:after="120" w:line="240" w:lineRule="auto"/>
      <w:ind w:left="680"/>
      <w:outlineLvl w:val="0"/>
    </w:pPr>
    <w:rPr>
      <w:rFonts w:ascii="Verdana" w:eastAsiaTheme="majorEastAsia" w:hAnsi="Verdana" w:cstheme="majorBidi"/>
      <w:b/>
      <w:bCs/>
      <w:sz w:val="24"/>
      <w:szCs w:val="28"/>
      <w:lang w:val="en-GB"/>
    </w:rPr>
  </w:style>
  <w:style w:type="paragraph" w:styleId="Kop2">
    <w:name w:val="heading 2"/>
    <w:aliases w:val="Heading2,AnnexH2,ESHeading 2,BoxNumb,CaseStudy,Conclusion,Evidence,Recommendation,F4 Heading 2 - SubSection,(SubSection),(Main Heading),h2,Paragraph,Para Nos,Sub Heading,Numbered - 2,ignorer2,Oscar Faber 2,HAA-Section,Heading 2a,1.1 Heading 2"/>
    <w:basedOn w:val="Standaard"/>
    <w:next w:val="Standaard"/>
    <w:link w:val="Kop2Char"/>
    <w:uiPriority w:val="6"/>
    <w:qFormat/>
    <w:rsid w:val="00574CC6"/>
    <w:pPr>
      <w:keepNext/>
      <w:keepLines/>
      <w:numPr>
        <w:ilvl w:val="1"/>
        <w:numId w:val="2"/>
      </w:numPr>
      <w:tabs>
        <w:tab w:val="clear" w:pos="822"/>
        <w:tab w:val="num" w:pos="680"/>
      </w:tabs>
      <w:spacing w:before="120" w:after="120" w:line="240" w:lineRule="auto"/>
      <w:ind w:left="680"/>
      <w:outlineLvl w:val="1"/>
    </w:pPr>
    <w:rPr>
      <w:rFonts w:ascii="Verdana" w:eastAsiaTheme="majorEastAsia" w:hAnsi="Verdana" w:cstheme="majorBidi"/>
      <w:b/>
      <w:bCs/>
      <w:szCs w:val="26"/>
      <w:lang w:val="en-GB"/>
    </w:rPr>
  </w:style>
  <w:style w:type="paragraph" w:styleId="Kop3">
    <w:name w:val="heading 3"/>
    <w:aliases w:val="Heading3,AnnexH3,ESHeading 3,Box,Stage"/>
    <w:basedOn w:val="Standaard"/>
    <w:next w:val="Standaard"/>
    <w:link w:val="Kop3Char"/>
    <w:uiPriority w:val="4"/>
    <w:qFormat/>
    <w:rsid w:val="00574CC6"/>
    <w:pPr>
      <w:keepNext/>
      <w:keepLines/>
      <w:numPr>
        <w:ilvl w:val="2"/>
        <w:numId w:val="2"/>
      </w:numPr>
      <w:spacing w:before="120" w:after="120" w:line="240" w:lineRule="auto"/>
      <w:outlineLvl w:val="2"/>
    </w:pPr>
    <w:rPr>
      <w:rFonts w:ascii="Verdana" w:eastAsiaTheme="majorEastAsia" w:hAnsi="Verdana" w:cstheme="majorBidi"/>
      <w:b/>
      <w:bCs/>
      <w:sz w:val="20"/>
      <w:lang w:val="en-GB"/>
    </w:rPr>
  </w:style>
  <w:style w:type="paragraph" w:styleId="Kop4">
    <w:name w:val="heading 4"/>
    <w:aliases w:val="Heading4,AnnexH4,ESHeading 4,GHKContactsHeading,Task"/>
    <w:basedOn w:val="Standaard"/>
    <w:next w:val="Standaard"/>
    <w:link w:val="Kop4Char"/>
    <w:uiPriority w:val="4"/>
    <w:qFormat/>
    <w:rsid w:val="00574CC6"/>
    <w:pPr>
      <w:keepNext/>
      <w:keepLines/>
      <w:numPr>
        <w:ilvl w:val="3"/>
        <w:numId w:val="2"/>
      </w:numPr>
      <w:spacing w:before="120" w:after="120" w:line="240" w:lineRule="auto"/>
      <w:outlineLvl w:val="3"/>
    </w:pPr>
    <w:rPr>
      <w:rFonts w:ascii="Verdana" w:eastAsiaTheme="majorEastAsia" w:hAnsi="Verdana" w:cstheme="majorBidi"/>
      <w:b/>
      <w:bCs/>
      <w:iCs/>
      <w:color w:val="000000" w:themeColor="text1"/>
      <w:sz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Heading1 Char,AnnexHeading Char,AnnexHeading NoPage Char,ESHeading 1 Char,Heading 1NoSpace Char"/>
    <w:basedOn w:val="Standaardalinea-lettertype"/>
    <w:link w:val="Kop1"/>
    <w:uiPriority w:val="4"/>
    <w:rsid w:val="00574CC6"/>
    <w:rPr>
      <w:rFonts w:ascii="Verdana" w:eastAsiaTheme="majorEastAsia" w:hAnsi="Verdana" w:cstheme="majorBidi"/>
      <w:b/>
      <w:bCs/>
      <w:sz w:val="24"/>
      <w:szCs w:val="28"/>
      <w:lang w:val="en-GB"/>
    </w:rPr>
  </w:style>
  <w:style w:type="character" w:customStyle="1" w:styleId="Kop2Char">
    <w:name w:val="Kop 2 Char"/>
    <w:aliases w:val="Heading2 Char,AnnexH2 Char,ESHeading 2 Char,BoxNumb Char,CaseStudy Char,Conclusion Char,Evidence Char,Recommendation Char,F4 Heading 2 - SubSection Char,(SubSection) Char,(Main Heading) Char,h2 Char,Paragraph Char,Para Nos Char,ignorer2 Char"/>
    <w:basedOn w:val="Standaardalinea-lettertype"/>
    <w:link w:val="Kop2"/>
    <w:uiPriority w:val="6"/>
    <w:rsid w:val="00574CC6"/>
    <w:rPr>
      <w:rFonts w:ascii="Verdana" w:eastAsiaTheme="majorEastAsia" w:hAnsi="Verdana" w:cstheme="majorBidi"/>
      <w:b/>
      <w:bCs/>
      <w:szCs w:val="26"/>
      <w:lang w:val="en-GB"/>
    </w:rPr>
  </w:style>
  <w:style w:type="character" w:customStyle="1" w:styleId="Kop3Char">
    <w:name w:val="Kop 3 Char"/>
    <w:aliases w:val="Heading3 Char,AnnexH3 Char,ESHeading 3 Char,Box Char,Stage Char"/>
    <w:basedOn w:val="Standaardalinea-lettertype"/>
    <w:link w:val="Kop3"/>
    <w:uiPriority w:val="4"/>
    <w:rsid w:val="00574CC6"/>
    <w:rPr>
      <w:rFonts w:ascii="Verdana" w:eastAsiaTheme="majorEastAsia" w:hAnsi="Verdana" w:cstheme="majorBidi"/>
      <w:b/>
      <w:bCs/>
      <w:sz w:val="20"/>
      <w:lang w:val="en-GB"/>
    </w:rPr>
  </w:style>
  <w:style w:type="character" w:customStyle="1" w:styleId="Kop4Char">
    <w:name w:val="Kop 4 Char"/>
    <w:aliases w:val="Heading4 Char,AnnexH4 Char,ESHeading 4 Char,GHKContactsHeading Char,Task Char"/>
    <w:basedOn w:val="Standaardalinea-lettertype"/>
    <w:link w:val="Kop4"/>
    <w:uiPriority w:val="4"/>
    <w:rsid w:val="00574CC6"/>
    <w:rPr>
      <w:rFonts w:ascii="Verdana" w:eastAsiaTheme="majorEastAsia" w:hAnsi="Verdana" w:cstheme="majorBidi"/>
      <w:b/>
      <w:bCs/>
      <w:iCs/>
      <w:color w:val="000000" w:themeColor="text1"/>
      <w:sz w:val="20"/>
      <w:lang w:val="en-GB"/>
    </w:rPr>
  </w:style>
  <w:style w:type="numbering" w:customStyle="1" w:styleId="NumbListHeading">
    <w:name w:val="NumbListHeading"/>
    <w:aliases w:val="NumbLstAnnex,NumbLstBoxes,NumbLstExecSumm,NumbLstMain,NumbLstStage,NumbLstTableSimpleNo"/>
    <w:uiPriority w:val="99"/>
    <w:rsid w:val="00574CC6"/>
    <w:pPr>
      <w:numPr>
        <w:numId w:val="1"/>
      </w:numPr>
    </w:pPr>
  </w:style>
  <w:style w:type="paragraph" w:styleId="Lijstalinea">
    <w:name w:val="List Paragraph"/>
    <w:basedOn w:val="Standaard"/>
    <w:uiPriority w:val="34"/>
    <w:qFormat/>
    <w:rsid w:val="00574CC6"/>
    <w:pPr>
      <w:ind w:left="720"/>
      <w:contextualSpacing/>
    </w:pPr>
  </w:style>
  <w:style w:type="paragraph" w:styleId="Lijstopsomteken">
    <w:name w:val="List Bullet"/>
    <w:basedOn w:val="Standaard"/>
    <w:uiPriority w:val="99"/>
    <w:semiHidden/>
    <w:rsid w:val="000F7369"/>
    <w:pPr>
      <w:numPr>
        <w:numId w:val="3"/>
      </w:numPr>
      <w:spacing w:before="120" w:after="120" w:line="240" w:lineRule="auto"/>
    </w:pPr>
    <w:rPr>
      <w:rFonts w:ascii="Verdana" w:hAnsi="Verdana"/>
      <w:color w:val="000000" w:themeColor="text1"/>
      <w:sz w:val="20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62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7599"/>
  </w:style>
  <w:style w:type="paragraph" w:styleId="Voettekst">
    <w:name w:val="footer"/>
    <w:basedOn w:val="Standaard"/>
    <w:link w:val="VoettekstChar"/>
    <w:uiPriority w:val="99"/>
    <w:unhideWhenUsed/>
    <w:rsid w:val="0062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7599"/>
  </w:style>
  <w:style w:type="numbering" w:customStyle="1" w:styleId="Bullets">
    <w:name w:val="Bullets"/>
    <w:aliases w:val="NumbLstBTBullet,NumbLstBullet"/>
    <w:uiPriority w:val="99"/>
    <w:rsid w:val="00946B6A"/>
    <w:pPr>
      <w:numPr>
        <w:numId w:val="4"/>
      </w:numPr>
    </w:pPr>
  </w:style>
  <w:style w:type="paragraph" w:customStyle="1" w:styleId="Bullet1">
    <w:name w:val="Bullet 1"/>
    <w:aliases w:val="Bullet1,BTBullet1"/>
    <w:basedOn w:val="Standaard"/>
    <w:uiPriority w:val="9"/>
    <w:qFormat/>
    <w:rsid w:val="00946B6A"/>
    <w:pPr>
      <w:numPr>
        <w:numId w:val="4"/>
      </w:numPr>
      <w:spacing w:before="120" w:after="120" w:line="240" w:lineRule="auto"/>
      <w:contextualSpacing/>
    </w:pPr>
    <w:rPr>
      <w:rFonts w:ascii="Verdana" w:hAnsi="Verdana"/>
      <w:color w:val="000000" w:themeColor="text1"/>
      <w:sz w:val="20"/>
      <w:lang w:val="en-GB"/>
    </w:rPr>
  </w:style>
  <w:style w:type="paragraph" w:customStyle="1" w:styleId="Bullet1Space">
    <w:name w:val="Bullet 1 Space"/>
    <w:aliases w:val="Bullet1Last,BTBullet1Last"/>
    <w:basedOn w:val="Bullet1"/>
    <w:uiPriority w:val="11"/>
    <w:qFormat/>
    <w:rsid w:val="00946B6A"/>
    <w:pPr>
      <w:contextualSpacing w:val="0"/>
    </w:pPr>
  </w:style>
  <w:style w:type="paragraph" w:styleId="Voetnoottekst">
    <w:name w:val="footnote text"/>
    <w:aliases w:val="Fußnote,Schriftart: 9 pt,Schriftart: 10 pt,Schriftart: 8 pt,o,Testo nota a piè di pagina Carattere,Footnote text,Char Char Car,Fußnotentextf,Note de bas de page Car Car Car Car Car Car Car Car Car Car,ft,fn,Plonk,fußn,Footnote Text Char2,f"/>
    <w:basedOn w:val="Standaard"/>
    <w:link w:val="VoetnoottekstChar"/>
    <w:uiPriority w:val="19"/>
    <w:unhideWhenUsed/>
    <w:qFormat/>
    <w:rsid w:val="00DD6FC7"/>
    <w:pPr>
      <w:spacing w:after="0" w:line="240" w:lineRule="auto"/>
    </w:pPr>
    <w:rPr>
      <w:sz w:val="20"/>
      <w:szCs w:val="20"/>
      <w:lang w:val="en-GB"/>
    </w:rPr>
  </w:style>
  <w:style w:type="character" w:customStyle="1" w:styleId="VoetnoottekstChar">
    <w:name w:val="Voetnoottekst Char"/>
    <w:aliases w:val="Fußnote Char,Schriftart: 9 pt Char,Schriftart: 10 pt Char,Schriftart: 8 pt Char,o Char,Testo nota a piè di pagina Carattere Char,Footnote text Char,Char Char Car Char,Fußnotentextf Char,ft Char,fn Char,Plonk Char,fußn Char,f Char"/>
    <w:basedOn w:val="Standaardalinea-lettertype"/>
    <w:link w:val="Voetnoottekst"/>
    <w:uiPriority w:val="19"/>
    <w:rsid w:val="00DD6FC7"/>
    <w:rPr>
      <w:sz w:val="20"/>
      <w:szCs w:val="20"/>
      <w:lang w:val="en-GB"/>
    </w:rPr>
  </w:style>
  <w:style w:type="character" w:styleId="Voetnootmarkering">
    <w:name w:val="footnote reference"/>
    <w:aliases w:val="Footnote symbol,Footnote,Footnote Reference Number,E FNZ,-E Fußnotenzeichen,Footnote#,Times 10 Point,Exposant 3 Point,Ref,de nota al pie,Footnote reference number,note TESI,SUPERS,EN Footnote Reference,-E Fuίnotenzeichen,Nota,FR,Char1"/>
    <w:basedOn w:val="Standaardalinea-lettertype"/>
    <w:link w:val="BVIfnrCharChar"/>
    <w:uiPriority w:val="19"/>
    <w:unhideWhenUsed/>
    <w:qFormat/>
    <w:rsid w:val="00DD6FC7"/>
    <w:rPr>
      <w:vertAlign w:val="superscript"/>
    </w:rPr>
  </w:style>
  <w:style w:type="paragraph" w:customStyle="1" w:styleId="BVIfnrCharChar">
    <w:name w:val="BVI fnr Char Char"/>
    <w:aliases w:val="-E Fußnotenzeichen Char Char,E FNZ Char Char,EN Footnote Reference Char Char,Exposant 3 Point Char Char,Footnote Char Char,Footnote Reference Number Char Char"/>
    <w:basedOn w:val="Standaard"/>
    <w:link w:val="Voetnootmarkering"/>
    <w:uiPriority w:val="19"/>
    <w:rsid w:val="00DD6FC7"/>
    <w:pPr>
      <w:spacing w:before="120" w:line="240" w:lineRule="exact"/>
      <w:jc w:val="both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1477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Miet Verhamme</dc:creator>
  <cp:keywords/>
  <dc:description/>
  <cp:lastModifiedBy>Elien Rottiers</cp:lastModifiedBy>
  <cp:revision>5</cp:revision>
  <dcterms:created xsi:type="dcterms:W3CDTF">2017-05-17T09:46:00Z</dcterms:created>
  <dcterms:modified xsi:type="dcterms:W3CDTF">2017-05-17T10:09:00Z</dcterms:modified>
</cp:coreProperties>
</file>